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DC93" w14:textId="77777777" w:rsidR="00A03029" w:rsidRPr="0012560D" w:rsidRDefault="00A03029" w:rsidP="00A03029">
      <w:pPr>
        <w:jc w:val="center"/>
        <w:rPr>
          <w:rFonts w:eastAsia="Times New Roman"/>
          <w:b/>
          <w:i/>
          <w:color w:val="202124"/>
          <w:u w:val="single"/>
        </w:rPr>
      </w:pPr>
      <w:r w:rsidRPr="0012560D">
        <w:rPr>
          <w:rFonts w:eastAsia="Times New Roman"/>
          <w:b/>
          <w:i/>
          <w:color w:val="202124"/>
          <w:u w:val="single"/>
        </w:rPr>
        <w:t>Contaminación y salud: actualización de los avances</w:t>
      </w:r>
    </w:p>
    <w:p w14:paraId="613FE01F" w14:textId="67617B5A" w:rsidR="00A03029" w:rsidRPr="0012560D" w:rsidRDefault="00A03029" w:rsidP="00A03029">
      <w:pPr>
        <w:jc w:val="center"/>
        <w:rPr>
          <w:i/>
        </w:rPr>
      </w:pPr>
      <w:r w:rsidRPr="0012560D">
        <w:rPr>
          <w:rFonts w:eastAsia="Times New Roman"/>
          <w:i/>
          <w:color w:val="202124"/>
        </w:rPr>
        <w:t>“</w:t>
      </w:r>
      <w:proofErr w:type="spellStart"/>
      <w:r w:rsidR="00437557">
        <w:rPr>
          <w:rFonts w:eastAsia="Times New Roman"/>
          <w:i/>
          <w:color w:val="202124"/>
        </w:rPr>
        <w:t>The</w:t>
      </w:r>
      <w:proofErr w:type="spellEnd"/>
      <w:r w:rsidR="00437557">
        <w:rPr>
          <w:rFonts w:eastAsia="Times New Roman"/>
          <w:i/>
          <w:color w:val="202124"/>
        </w:rPr>
        <w:t xml:space="preserve"> </w:t>
      </w:r>
      <w:proofErr w:type="spellStart"/>
      <w:r w:rsidR="00437557">
        <w:rPr>
          <w:rFonts w:eastAsia="Times New Roman"/>
          <w:i/>
          <w:color w:val="202124"/>
        </w:rPr>
        <w:t>Lancet</w:t>
      </w:r>
      <w:proofErr w:type="spellEnd"/>
      <w:r w:rsidR="00437557">
        <w:rPr>
          <w:rFonts w:eastAsia="Times New Roman"/>
          <w:i/>
          <w:color w:val="202124"/>
        </w:rPr>
        <w:t xml:space="preserve"> </w:t>
      </w:r>
      <w:proofErr w:type="spellStart"/>
      <w:r w:rsidR="00437557">
        <w:rPr>
          <w:rFonts w:eastAsia="Times New Roman"/>
          <w:i/>
          <w:color w:val="202124"/>
        </w:rPr>
        <w:t>Planetary</w:t>
      </w:r>
      <w:proofErr w:type="spellEnd"/>
      <w:r w:rsidR="00437557">
        <w:rPr>
          <w:rFonts w:eastAsia="Times New Roman"/>
          <w:i/>
          <w:color w:val="202124"/>
        </w:rPr>
        <w:t xml:space="preserve"> </w:t>
      </w:r>
      <w:proofErr w:type="spellStart"/>
      <w:r w:rsidR="00437557">
        <w:rPr>
          <w:rFonts w:eastAsia="Times New Roman"/>
          <w:i/>
          <w:color w:val="202124"/>
        </w:rPr>
        <w:t>Health</w:t>
      </w:r>
      <w:proofErr w:type="spellEnd"/>
      <w:r w:rsidRPr="0012560D">
        <w:rPr>
          <w:rFonts w:eastAsia="Times New Roman"/>
          <w:i/>
          <w:color w:val="202124"/>
        </w:rPr>
        <w:t>”</w:t>
      </w:r>
    </w:p>
    <w:p w14:paraId="6A85F4AE" w14:textId="77777777" w:rsidR="00A03029" w:rsidRDefault="00A03029" w:rsidP="00A03029">
      <w:pPr>
        <w:jc w:val="center"/>
        <w:rPr>
          <w:rFonts w:eastAsia="Times New Roman"/>
          <w:color w:val="202124"/>
        </w:rPr>
      </w:pPr>
    </w:p>
    <w:p w14:paraId="300894DF" w14:textId="77777777" w:rsidR="00A03029" w:rsidRPr="0012560D" w:rsidRDefault="00A03029" w:rsidP="00A03029">
      <w:pPr>
        <w:jc w:val="center"/>
      </w:pPr>
      <w:r w:rsidRPr="0012560D">
        <w:rPr>
          <w:rFonts w:eastAsia="Times New Roman"/>
          <w:color w:val="202124"/>
        </w:rPr>
        <w:t>RESUMEN EJECUTIVO</w:t>
      </w:r>
    </w:p>
    <w:p w14:paraId="54440ACC" w14:textId="77777777" w:rsidR="00A03029" w:rsidRPr="0012560D" w:rsidRDefault="00A03029" w:rsidP="00A03029">
      <w:pPr>
        <w:jc w:val="center"/>
        <w:rPr>
          <w:lang w:val="es-AR"/>
        </w:rPr>
      </w:pPr>
      <w:r w:rsidRPr="0012560D">
        <w:rPr>
          <w:rFonts w:eastAsia="Times New Roman"/>
          <w:color w:val="202124"/>
        </w:rPr>
        <w:t>16 de mayo de 2022</w:t>
      </w:r>
    </w:p>
    <w:p w14:paraId="515F2181" w14:textId="77777777" w:rsidR="00A03029" w:rsidRPr="0012560D" w:rsidRDefault="00A03029" w:rsidP="00A03029">
      <w:pPr>
        <w:rPr>
          <w:rFonts w:eastAsia="Times New Roman"/>
          <w:i/>
          <w:color w:val="202124"/>
          <w:u w:val="single"/>
        </w:rPr>
      </w:pPr>
      <w:r w:rsidRPr="0012560D">
        <w:rPr>
          <w:rFonts w:eastAsia="Times New Roman"/>
          <w:i/>
          <w:color w:val="202124"/>
          <w:u w:val="single"/>
        </w:rPr>
        <w:t>Una amenaza existencial</w:t>
      </w:r>
    </w:p>
    <w:p w14:paraId="49953332" w14:textId="77777777" w:rsidR="00A03029" w:rsidRPr="0012560D" w:rsidRDefault="00A03029" w:rsidP="00A03029">
      <w:pPr>
        <w:rPr>
          <w:i/>
          <w:u w:val="single"/>
          <w:lang w:val="es-AR"/>
        </w:rPr>
      </w:pPr>
    </w:p>
    <w:p w14:paraId="7BD9DD20" w14:textId="38D7DE8F" w:rsidR="00A03029" w:rsidRPr="0012560D" w:rsidRDefault="00A03029" w:rsidP="00A03029">
      <w:pPr>
        <w:jc w:val="both"/>
        <w:rPr>
          <w:b/>
          <w:bCs/>
          <w:color w:val="5F6368"/>
          <w:shd w:val="clear" w:color="auto" w:fill="FFFFFF"/>
        </w:rPr>
      </w:pPr>
      <w:r w:rsidRPr="0012560D">
        <w:rPr>
          <w:rFonts w:cstheme="minorHAnsi"/>
          <w:i/>
          <w:iCs/>
        </w:rPr>
        <w:t>“La Comisión Lancet sobre la contaminación y la salud”</w:t>
      </w:r>
      <w:r w:rsidRPr="0012560D">
        <w:rPr>
          <w:rFonts w:eastAsia="Times New Roman"/>
        </w:rPr>
        <w:t xml:space="preserve"> </w:t>
      </w:r>
      <w:r w:rsidRPr="0012560D">
        <w:rPr>
          <w:rFonts w:eastAsia="Times New Roman"/>
          <w:color w:val="202124"/>
        </w:rPr>
        <w:t xml:space="preserve">concluyó en 2017 que la contaminación es el factor global de riesgo ambiental más importante responsable de enfermedades y muertes prematuras, una amenaza existencial para la salud humana y planetaria que compromete la sostenibilidad de las sociedades modernas.  Ahora se publica en </w:t>
      </w:r>
      <w:r w:rsidRPr="0012560D">
        <w:rPr>
          <w:rFonts w:eastAsia="Times New Roman"/>
          <w:i/>
          <w:color w:val="202124"/>
        </w:rPr>
        <w:t>“</w:t>
      </w:r>
      <w:proofErr w:type="spellStart"/>
      <w:r w:rsidR="00437557">
        <w:rPr>
          <w:rFonts w:eastAsia="Times New Roman"/>
          <w:i/>
          <w:color w:val="202124"/>
        </w:rPr>
        <w:t>The</w:t>
      </w:r>
      <w:proofErr w:type="spellEnd"/>
      <w:r w:rsidR="00437557">
        <w:rPr>
          <w:rFonts w:eastAsia="Times New Roman"/>
          <w:i/>
          <w:color w:val="202124"/>
        </w:rPr>
        <w:t xml:space="preserve"> </w:t>
      </w:r>
      <w:proofErr w:type="spellStart"/>
      <w:r w:rsidR="00437557">
        <w:rPr>
          <w:rFonts w:eastAsia="Times New Roman"/>
          <w:i/>
          <w:color w:val="202124"/>
        </w:rPr>
        <w:t>Lancet</w:t>
      </w:r>
      <w:proofErr w:type="spellEnd"/>
      <w:r w:rsidR="00437557">
        <w:rPr>
          <w:rFonts w:eastAsia="Times New Roman"/>
          <w:i/>
          <w:color w:val="202124"/>
        </w:rPr>
        <w:t xml:space="preserve"> </w:t>
      </w:r>
      <w:proofErr w:type="spellStart"/>
      <w:r w:rsidR="00437557">
        <w:rPr>
          <w:rFonts w:eastAsia="Times New Roman"/>
          <w:i/>
          <w:color w:val="202124"/>
        </w:rPr>
        <w:t>Planetary</w:t>
      </w:r>
      <w:proofErr w:type="spellEnd"/>
      <w:r w:rsidR="00437557">
        <w:rPr>
          <w:rFonts w:eastAsia="Times New Roman"/>
          <w:i/>
          <w:color w:val="202124"/>
        </w:rPr>
        <w:t xml:space="preserve"> </w:t>
      </w:r>
      <w:proofErr w:type="spellStart"/>
      <w:r w:rsidR="00437557">
        <w:rPr>
          <w:rFonts w:eastAsia="Times New Roman"/>
          <w:i/>
          <w:color w:val="202124"/>
        </w:rPr>
        <w:t>Health</w:t>
      </w:r>
      <w:proofErr w:type="spellEnd"/>
      <w:r w:rsidRPr="0012560D">
        <w:rPr>
          <w:rFonts w:eastAsia="Times New Roman"/>
          <w:i/>
          <w:color w:val="202124"/>
        </w:rPr>
        <w:t>”</w:t>
      </w:r>
      <w:r w:rsidRPr="0012560D">
        <w:rPr>
          <w:rFonts w:eastAsia="Times New Roman"/>
          <w:color w:val="202124"/>
        </w:rPr>
        <w:t xml:space="preserve"> un análisis actualizado que proporciona nuevas y cruciales perspectivas mostrando que el impacto de la contaminación sigue siendo inmenso y que desde 2015 la cantidad de muertes anuales no ha disminuido.</w:t>
      </w:r>
    </w:p>
    <w:p w14:paraId="70051E44" w14:textId="77777777" w:rsidR="00A03029" w:rsidRPr="0012560D" w:rsidRDefault="00A03029" w:rsidP="00A03029">
      <w:pPr>
        <w:rPr>
          <w:rStyle w:val="y2iqfc"/>
          <w:color w:val="202124"/>
        </w:rPr>
      </w:pPr>
    </w:p>
    <w:p w14:paraId="0F670A78" w14:textId="77777777" w:rsidR="00A03029" w:rsidRPr="0012560D" w:rsidRDefault="00A03029" w:rsidP="00A03029">
      <w:pPr>
        <w:rPr>
          <w:rStyle w:val="y2iqfc"/>
          <w:color w:val="202124"/>
          <w:u w:val="single"/>
        </w:rPr>
      </w:pPr>
      <w:r w:rsidRPr="0012560D">
        <w:rPr>
          <w:rStyle w:val="y2iqfc"/>
          <w:color w:val="202124"/>
          <w:u w:val="single"/>
        </w:rPr>
        <w:t>Selección de hallazgos</w:t>
      </w:r>
    </w:p>
    <w:p w14:paraId="7F09697E" w14:textId="77777777" w:rsidR="00A03029" w:rsidRPr="0012560D" w:rsidRDefault="00A03029" w:rsidP="00A03029">
      <w:pPr>
        <w:rPr>
          <w:rStyle w:val="y2iqfc"/>
          <w:color w:val="202124"/>
          <w:u w:val="single"/>
        </w:rPr>
      </w:pPr>
    </w:p>
    <w:p w14:paraId="2721070D" w14:textId="77777777" w:rsidR="00A03029" w:rsidRPr="0012560D" w:rsidRDefault="00A03029" w:rsidP="00A03029">
      <w:pPr>
        <w:jc w:val="both"/>
        <w:rPr>
          <w:rStyle w:val="y2iqfc"/>
          <w:color w:val="202124"/>
        </w:rPr>
      </w:pPr>
      <w:r w:rsidRPr="0012560D">
        <w:rPr>
          <w:rStyle w:val="y2iqfc"/>
          <w:color w:val="202124"/>
        </w:rPr>
        <w:t xml:space="preserve">Este análisis actualizado muestra que la contaminación todavía es responsable de la asombrosa cifra de 9 millones de muertes prematuras globales por año - una de cada seis. Esto significa que la contaminación ha causado aproximadamente 45 millones de muertes entre el 2015 y el 2019, años en que se consultaron las fuentes de información del reporte anterior y del actual respectivamente. Finalmente, los 9 millones de muertes anuales relacionadas con la contaminación representan cerca de un 50% más que todas las muertes globales debidas a COVID-19 (alrededor de 6.247 millones al 6 de mayo de 2022, según la OMS), este número también supera a la sumatoria de todas las muertes atribuidas en 2019 a la guerra y el terrorismo, SIDA, tuberculosis, malaria, drogas y alcohol. </w:t>
      </w:r>
    </w:p>
    <w:p w14:paraId="3918565D" w14:textId="77777777" w:rsidR="00A03029" w:rsidRPr="0012560D" w:rsidRDefault="00A03029" w:rsidP="00A03029">
      <w:pPr>
        <w:rPr>
          <w:rStyle w:val="y2iqfc"/>
          <w:color w:val="202124"/>
        </w:rPr>
      </w:pPr>
    </w:p>
    <w:p w14:paraId="75B6030D" w14:textId="6E1B8701" w:rsidR="00A03029" w:rsidRPr="0012560D" w:rsidRDefault="00A03029" w:rsidP="00A03029">
      <w:pPr>
        <w:jc w:val="both"/>
        <w:rPr>
          <w:rStyle w:val="y2iqfc"/>
          <w:color w:val="202124"/>
        </w:rPr>
      </w:pPr>
      <w:r w:rsidRPr="0012560D">
        <w:rPr>
          <w:rStyle w:val="y2iqfc"/>
          <w:color w:val="202124"/>
        </w:rPr>
        <w:t xml:space="preserve">Además, en los 5 años transcurridos entre el último informe publicado por </w:t>
      </w:r>
      <w:r w:rsidRPr="0012560D">
        <w:rPr>
          <w:rStyle w:val="y2iqfc"/>
        </w:rPr>
        <w:t>“</w:t>
      </w:r>
      <w:r w:rsidRPr="0012560D">
        <w:rPr>
          <w:rStyle w:val="Emphasis"/>
          <w:shd w:val="clear" w:color="auto" w:fill="FFFFFF"/>
        </w:rPr>
        <w:t>La Comisión Lancet sobre</w:t>
      </w:r>
      <w:r w:rsidRPr="0012560D">
        <w:rPr>
          <w:shd w:val="clear" w:color="auto" w:fill="FFFFFF"/>
        </w:rPr>
        <w:t> la </w:t>
      </w:r>
      <w:r w:rsidRPr="0012560D">
        <w:rPr>
          <w:rStyle w:val="Emphasis"/>
          <w:shd w:val="clear" w:color="auto" w:fill="FFFFFF"/>
        </w:rPr>
        <w:t>contaminación</w:t>
      </w:r>
      <w:r w:rsidRPr="0012560D">
        <w:rPr>
          <w:shd w:val="clear" w:color="auto" w:fill="FFFFFF"/>
        </w:rPr>
        <w:t> y la </w:t>
      </w:r>
      <w:r w:rsidRPr="0012560D">
        <w:rPr>
          <w:rStyle w:val="Emphasis"/>
          <w:shd w:val="clear" w:color="auto" w:fill="FFFFFF"/>
        </w:rPr>
        <w:t>salud</w:t>
      </w:r>
      <w:r w:rsidRPr="0012560D">
        <w:rPr>
          <w:shd w:val="clear" w:color="auto" w:fill="FFFFFF"/>
        </w:rPr>
        <w:t>”</w:t>
      </w:r>
      <w:r w:rsidRPr="0012560D">
        <w:rPr>
          <w:rStyle w:val="y2iqfc"/>
          <w:color w:val="202124"/>
        </w:rPr>
        <w:t xml:space="preserve"> (con información del año 2015) y este nuevo análisis (conteniendo información del año 2019), la proporción de muertes por “contaminación moderna” se ha incrementado substancialmente – en un 66 % desde el 2000. La “contaminación moderna” es el resultado de la industrialización y urbanización e incluye la contaminación del aire ambiental y por químicos, especialmente por plomo. </w:t>
      </w:r>
    </w:p>
    <w:p w14:paraId="629FFEAF" w14:textId="77777777" w:rsidR="00A03029" w:rsidRPr="0012560D" w:rsidRDefault="00A03029" w:rsidP="00A03029">
      <w:pPr>
        <w:rPr>
          <w:rStyle w:val="y2iqfc"/>
          <w:color w:val="202124"/>
        </w:rPr>
      </w:pPr>
    </w:p>
    <w:p w14:paraId="2EFA6E3F" w14:textId="77777777" w:rsidR="00A03029" w:rsidRPr="0012560D" w:rsidRDefault="00A03029" w:rsidP="00A03029">
      <w:pPr>
        <w:jc w:val="both"/>
        <w:rPr>
          <w:rStyle w:val="y2iqfc"/>
          <w:color w:val="202124"/>
        </w:rPr>
      </w:pPr>
      <w:r w:rsidRPr="0012560D">
        <w:rPr>
          <w:rStyle w:val="y2iqfc"/>
          <w:color w:val="202124"/>
        </w:rPr>
        <w:t>Se han reducido las muertes por “contaminación tradicional” asociada con la pobreza que incluye la contaminación del aire interior de las viviendas en las comunidades más empobrecidas y de las fuentes de agua en países de bajos y medianos ingresos (LMIC por sus siglas en inglés). Sin embargo, a pesar de las mejoras en la calidad del agua, todavía sigue siendo la segunda causa de muerte relacionada con la contaminación. Además, la reducción de la “contaminación tradicional” se ve contrarrestada por un aumento de las muertes por “contaminación moderna”.</w:t>
      </w:r>
    </w:p>
    <w:p w14:paraId="5864253A" w14:textId="77777777" w:rsidR="00A03029" w:rsidRPr="0012560D" w:rsidRDefault="00A03029" w:rsidP="00A03029">
      <w:pPr>
        <w:rPr>
          <w:rStyle w:val="y2iqfc"/>
          <w:color w:val="202124"/>
        </w:rPr>
      </w:pPr>
    </w:p>
    <w:p w14:paraId="14F500B5" w14:textId="77777777" w:rsidR="00A03029" w:rsidRPr="0012560D" w:rsidRDefault="00A03029" w:rsidP="00A03029">
      <w:pPr>
        <w:jc w:val="both"/>
        <w:rPr>
          <w:rStyle w:val="y2iqfc"/>
          <w:color w:val="202124"/>
        </w:rPr>
      </w:pPr>
      <w:r w:rsidRPr="0012560D">
        <w:rPr>
          <w:rStyle w:val="y2iqfc"/>
          <w:color w:val="202124"/>
        </w:rPr>
        <w:t>La contaminación del aire es el contribuyente individual más importante a las muertes relacionadas con la contaminación representando unos 6.67 millones o casi tres de cada cuatro (74%) de los 9 millones de muertes globales totales. Hay dos tipos principales de contaminación del aire. La calidad del aire interior de las viviendas (asociada con la pobreza extrema) es resultado de la quema de leña, biomasa, carbón vegetal o querosene generalmente usados para calentar y cocinar. La contaminación del aire ambiental o exterior es principalmente producida por la industrialización, los vehículos que obtienen energía proveniente de la combustión de derivados del petróleo, la agricultura mecanizada y la generación de electricidad.</w:t>
      </w:r>
    </w:p>
    <w:p w14:paraId="1628E30B" w14:textId="77777777" w:rsidR="00A03029" w:rsidRPr="0012560D" w:rsidRDefault="00A03029" w:rsidP="00A03029">
      <w:pPr>
        <w:rPr>
          <w:rStyle w:val="y2iqfc"/>
          <w:color w:val="202124"/>
        </w:rPr>
      </w:pPr>
    </w:p>
    <w:p w14:paraId="399AD4D2" w14:textId="77777777" w:rsidR="00A03029" w:rsidRPr="0012560D" w:rsidRDefault="00A03029" w:rsidP="00A03029">
      <w:pPr>
        <w:jc w:val="both"/>
        <w:rPr>
          <w:rStyle w:val="y2iqfc"/>
          <w:color w:val="202124"/>
        </w:rPr>
      </w:pPr>
      <w:r w:rsidRPr="0012560D">
        <w:rPr>
          <w:rStyle w:val="y2iqfc"/>
          <w:color w:val="202124"/>
        </w:rPr>
        <w:t xml:space="preserve">Si bien en términos de muertes prematuras totales la contaminación por plomo se ubica detrás de la contaminación total por aire y del agua, contribuyó a su vez con 900.000 muertes prematuras en 2019, un 80% más que lo reportado en 2015, aunque probablemente están </w:t>
      </w:r>
      <w:proofErr w:type="spellStart"/>
      <w:r w:rsidRPr="0012560D">
        <w:rPr>
          <w:rStyle w:val="y2iqfc"/>
          <w:color w:val="202124"/>
        </w:rPr>
        <w:t>subregistradas</w:t>
      </w:r>
      <w:proofErr w:type="spellEnd"/>
      <w:r w:rsidRPr="0012560D">
        <w:rPr>
          <w:rStyle w:val="y2iqfc"/>
          <w:color w:val="202124"/>
        </w:rPr>
        <w:t>. Su impacto total es también devastador, especialmente en los niños. Más de 800 millones de niños de todo el mundo sufren intoxicación por plomo, con niveles de plomo en sangre que superan los 5 µg/dl, que es el nivel de intervención fijado hasta recientemente por los Centros para el Control y Prevención de Enfermedades (Control Desease Centers - CDC) de EE. UU. (actualmente el nivel de intervención se bajó en 3,5 µg/dl). Un nivel de 5 µg/dl de plomo en sangre podría reducir entre 3 y 5 puntos el puntaje en las pruebas de inteligencia, lo que puede traducirse en el aumento de la tasa de fracaso escolar, disminución de la productividad, comportamiento más violento y pérdidas económicas globales de casi un millón de millones de dólares americanos al año.</w:t>
      </w:r>
    </w:p>
    <w:p w14:paraId="03E33C22" w14:textId="77777777" w:rsidR="00A03029" w:rsidRPr="0012560D" w:rsidRDefault="00A03029" w:rsidP="00A03029">
      <w:pPr>
        <w:rPr>
          <w:rStyle w:val="y2iqfc"/>
          <w:color w:val="202124"/>
        </w:rPr>
      </w:pPr>
    </w:p>
    <w:p w14:paraId="3F868E89" w14:textId="77777777" w:rsidR="00A03029" w:rsidRPr="0012560D" w:rsidRDefault="00A03029" w:rsidP="00A03029">
      <w:pPr>
        <w:jc w:val="both"/>
        <w:rPr>
          <w:rStyle w:val="y2iqfc"/>
          <w:color w:val="202124"/>
        </w:rPr>
      </w:pPr>
      <w:r w:rsidRPr="0012560D">
        <w:rPr>
          <w:rStyle w:val="y2iqfc"/>
          <w:color w:val="202124"/>
        </w:rPr>
        <w:t>Existe evidencia sólida sobre el movimiento transfronterizo de contaminantes que pueden trasladarse a largas distancias desplazándose con el aire y el agua, en la cadena alimentaria y en productos de consumo. Por ejemplo, los vientos globales transportan la contaminación del aire desde el este del Asia hasta América del Norte, a Europa, el Ártico y Asia Central. El desplazamiento transfronterizo de químicos es una amenaza de creciente preocupación ya que los metales tóxicos (especialmente el plomo) con mayor frecuencia se encuentran en productos cultivados y fabricados en países de medianos y bajos ingresos que son consumidos en países de mayores ingresos.</w:t>
      </w:r>
    </w:p>
    <w:p w14:paraId="281701BA" w14:textId="77777777" w:rsidR="00A03029" w:rsidRPr="0012560D" w:rsidRDefault="00A03029" w:rsidP="00A03029">
      <w:pPr>
        <w:rPr>
          <w:rStyle w:val="y2iqfc"/>
          <w:color w:val="202124"/>
        </w:rPr>
      </w:pPr>
    </w:p>
    <w:p w14:paraId="15A9FBE3" w14:textId="77777777" w:rsidR="00A03029" w:rsidRPr="0012560D" w:rsidRDefault="00A03029" w:rsidP="00A03029">
      <w:pPr>
        <w:rPr>
          <w:rStyle w:val="y2iqfc"/>
          <w:color w:val="202124"/>
          <w:u w:val="single"/>
        </w:rPr>
      </w:pPr>
      <w:r w:rsidRPr="0012560D">
        <w:rPr>
          <w:rStyle w:val="y2iqfc"/>
          <w:color w:val="202124"/>
          <w:u w:val="single"/>
        </w:rPr>
        <w:t>Evaluación de las políticas y los progresos</w:t>
      </w:r>
    </w:p>
    <w:p w14:paraId="3530F999" w14:textId="77777777" w:rsidR="00A03029" w:rsidRPr="0012560D" w:rsidRDefault="00A03029" w:rsidP="00A03029">
      <w:pPr>
        <w:rPr>
          <w:rStyle w:val="y2iqfc"/>
          <w:color w:val="202124"/>
          <w:u w:val="single"/>
        </w:rPr>
      </w:pPr>
    </w:p>
    <w:p w14:paraId="32E43D06" w14:textId="77777777" w:rsidR="00A03029" w:rsidRPr="0012560D" w:rsidRDefault="00A03029" w:rsidP="00A03029">
      <w:pPr>
        <w:jc w:val="both"/>
        <w:rPr>
          <w:rStyle w:val="y2iqfc"/>
          <w:color w:val="202124"/>
        </w:rPr>
      </w:pPr>
      <w:r w:rsidRPr="0012560D">
        <w:rPr>
          <w:rStyle w:val="y2iqfc"/>
          <w:color w:val="202124"/>
        </w:rPr>
        <w:t xml:space="preserve">A pesar de los continuos esfuerzos de personas, grupos y gobiernos nacionales comprometidos, la actualización del informe muestra que en la mayoría de los países de bajos y medianos ingresos se observan pocos avances para controlar la contaminación (en contraste con la disminución sostenida del número de muertes relacionadas con la contaminación que se presentan en los países más ricos). Hay algunas historias exitosas en los países de bajos y medianos ingresos, pero en general la atención que se le presta al problema es deficiente, tanto en las estrategias de </w:t>
      </w:r>
      <w:r w:rsidRPr="0012560D">
        <w:rPr>
          <w:rStyle w:val="y2iqfc"/>
          <w:color w:val="202124"/>
        </w:rPr>
        <w:lastRenderedPageBreak/>
        <w:t>desarrollo de país como con relación a la ayuda para el desarrollo. Se necesita dar atención urgente al control de la contaminación, poniendo énfasis en la contaminación del aire y la intoxicación por plomo, como así también fortalecer los temas relacionados con los químicos peligrosos.</w:t>
      </w:r>
    </w:p>
    <w:p w14:paraId="7905CBDE" w14:textId="77777777" w:rsidR="00A03029" w:rsidRPr="0012560D" w:rsidRDefault="00A03029" w:rsidP="00A03029">
      <w:pPr>
        <w:rPr>
          <w:rStyle w:val="y2iqfc"/>
          <w:color w:val="202124"/>
        </w:rPr>
      </w:pPr>
    </w:p>
    <w:p w14:paraId="6E6B08CB" w14:textId="77777777" w:rsidR="00A03029" w:rsidRPr="0012560D" w:rsidRDefault="00A03029" w:rsidP="00A03029">
      <w:pPr>
        <w:rPr>
          <w:rStyle w:val="y2iqfc"/>
          <w:color w:val="202124"/>
        </w:rPr>
      </w:pPr>
    </w:p>
    <w:p w14:paraId="1B3D4B69" w14:textId="77777777" w:rsidR="00A03029" w:rsidRPr="0012560D" w:rsidRDefault="00A03029" w:rsidP="00A03029">
      <w:pPr>
        <w:rPr>
          <w:rStyle w:val="y2iqfc"/>
          <w:color w:val="000000" w:themeColor="text1"/>
          <w:u w:val="single"/>
        </w:rPr>
      </w:pPr>
      <w:r w:rsidRPr="0012560D">
        <w:rPr>
          <w:rStyle w:val="y2iqfc"/>
          <w:color w:val="000000" w:themeColor="text1"/>
          <w:u w:val="single"/>
        </w:rPr>
        <w:t xml:space="preserve">Resumen de las recomendaciones de </w:t>
      </w:r>
      <w:r w:rsidRPr="0012560D">
        <w:rPr>
          <w:rStyle w:val="y2iqfc"/>
          <w:i/>
          <w:iCs/>
          <w:color w:val="000000" w:themeColor="text1"/>
          <w:u w:val="single"/>
        </w:rPr>
        <w:t>“</w:t>
      </w:r>
      <w:r w:rsidRPr="0012560D">
        <w:rPr>
          <w:rStyle w:val="Emphasis"/>
          <w:color w:val="000000" w:themeColor="text1"/>
          <w:u w:val="single"/>
          <w:shd w:val="clear" w:color="auto" w:fill="FFFFFF"/>
        </w:rPr>
        <w:t>La Comisión Lancet sobre</w:t>
      </w:r>
      <w:r w:rsidRPr="0012560D">
        <w:rPr>
          <w:i/>
          <w:iCs/>
          <w:color w:val="000000" w:themeColor="text1"/>
          <w:u w:val="single"/>
          <w:shd w:val="clear" w:color="auto" w:fill="FFFFFF"/>
        </w:rPr>
        <w:t> la </w:t>
      </w:r>
      <w:r w:rsidRPr="0012560D">
        <w:rPr>
          <w:rStyle w:val="Emphasis"/>
          <w:color w:val="000000" w:themeColor="text1"/>
          <w:u w:val="single"/>
          <w:shd w:val="clear" w:color="auto" w:fill="FFFFFF"/>
        </w:rPr>
        <w:t>contaminación</w:t>
      </w:r>
      <w:r w:rsidRPr="0012560D">
        <w:rPr>
          <w:i/>
          <w:iCs/>
          <w:color w:val="000000" w:themeColor="text1"/>
          <w:u w:val="single"/>
          <w:shd w:val="clear" w:color="auto" w:fill="FFFFFF"/>
        </w:rPr>
        <w:t> y la </w:t>
      </w:r>
      <w:proofErr w:type="gramStart"/>
      <w:r w:rsidRPr="0012560D">
        <w:rPr>
          <w:rStyle w:val="Emphasis"/>
          <w:color w:val="000000" w:themeColor="text1"/>
          <w:u w:val="single"/>
          <w:shd w:val="clear" w:color="auto" w:fill="FFFFFF"/>
        </w:rPr>
        <w:t>salud</w:t>
      </w:r>
      <w:r w:rsidRPr="0012560D">
        <w:rPr>
          <w:i/>
          <w:iCs/>
          <w:color w:val="000000" w:themeColor="text1"/>
          <w:u w:val="single"/>
          <w:shd w:val="clear" w:color="auto" w:fill="FFFFFF"/>
        </w:rPr>
        <w:t> </w:t>
      </w:r>
      <w:r w:rsidRPr="0012560D">
        <w:rPr>
          <w:rStyle w:val="y2iqfc"/>
          <w:i/>
          <w:iCs/>
          <w:color w:val="000000" w:themeColor="text1"/>
          <w:u w:val="single"/>
        </w:rPr>
        <w:t>”</w:t>
      </w:r>
      <w:proofErr w:type="gramEnd"/>
      <w:r w:rsidRPr="0012560D">
        <w:rPr>
          <w:rStyle w:val="y2iqfc"/>
          <w:color w:val="000000" w:themeColor="text1"/>
          <w:u w:val="single"/>
        </w:rPr>
        <w:t xml:space="preserve"> </w:t>
      </w:r>
    </w:p>
    <w:p w14:paraId="1982B1C5" w14:textId="77777777" w:rsidR="00A03029" w:rsidRPr="0012560D" w:rsidRDefault="00A03029" w:rsidP="00A03029">
      <w:pPr>
        <w:rPr>
          <w:rStyle w:val="y2iqfc"/>
          <w:color w:val="202124"/>
          <w:u w:val="single"/>
        </w:rPr>
      </w:pPr>
    </w:p>
    <w:p w14:paraId="45EA9600" w14:textId="77777777" w:rsidR="00A03029" w:rsidRPr="0012560D" w:rsidRDefault="00A03029" w:rsidP="00A03029">
      <w:pPr>
        <w:jc w:val="both"/>
        <w:rPr>
          <w:color w:val="202124"/>
        </w:rPr>
      </w:pPr>
      <w:r w:rsidRPr="0012560D">
        <w:rPr>
          <w:rStyle w:val="y2iqfc"/>
          <w:color w:val="202124"/>
        </w:rPr>
        <w:t>La contaminación es una amenaza planetaria. Sus impulsores, dispersión e impacto sobre la salud trascienden las fronteras nacionales y exigen una respuesta global que se enfoque sobre los peores problemas: contaminación del aire, por químicos y plomo. Una interfaz formal científico-política con apoyo global puede orientar las intervenciones informadas, la investigación y la asistencia. Además, una transición masiva y rápida desde todos los combustibles fósiles hacia energía limpia y renovable puede ser una estrategia eficaz para prevenir la contaminación y frenar el cambio climático, lográndose así un doble beneficio para la salud del planeta.</w:t>
      </w:r>
    </w:p>
    <w:p w14:paraId="53896A1F" w14:textId="77777777" w:rsidR="00A03029" w:rsidRPr="0012560D" w:rsidRDefault="00A03029" w:rsidP="00A03029">
      <w:r w:rsidRPr="0012560D">
        <w:rPr>
          <w:lang w:val="es-AR"/>
        </w:rPr>
        <w:tab/>
      </w:r>
      <w:r w:rsidRPr="0012560D">
        <w:rPr>
          <w:lang w:val="es-AR"/>
        </w:rPr>
        <w:tab/>
      </w:r>
      <w:r w:rsidRPr="0012560D">
        <w:rPr>
          <w:lang w:val="es-AR"/>
        </w:rPr>
        <w:tab/>
      </w:r>
      <w:r w:rsidRPr="0012560D">
        <w:rPr>
          <w:lang w:val="es-AR"/>
        </w:rPr>
        <w:tab/>
      </w:r>
      <w:r w:rsidRPr="0012560D">
        <w:rPr>
          <w:lang w:val="es-AR"/>
        </w:rPr>
        <w:tab/>
      </w:r>
      <w:r w:rsidRPr="0012560D">
        <w:rPr>
          <w:lang w:val="es-AR"/>
        </w:rPr>
        <w:tab/>
      </w:r>
      <w:r w:rsidRPr="0012560D">
        <w:rPr>
          <w:lang w:val="es-AR"/>
        </w:rPr>
        <w:tab/>
      </w:r>
    </w:p>
    <w:p w14:paraId="045E85B6" w14:textId="77777777" w:rsidR="00437557" w:rsidRDefault="00437557" w:rsidP="00437557">
      <w:pPr>
        <w:rPr>
          <w:b/>
        </w:rPr>
      </w:pPr>
      <w:r>
        <w:rPr>
          <w:b/>
        </w:rPr>
        <w:t xml:space="preserve">Para descargar el informe completo: </w:t>
      </w:r>
      <w:hyperlink r:id="rId8" w:history="1">
        <w:r w:rsidRPr="006447A7">
          <w:rPr>
            <w:rStyle w:val="Hyperlink"/>
            <w:bCs/>
          </w:rPr>
          <w:t>https://gahp.net/wp-content/uploads/2022/05/22TLPlanet0196.pdf</w:t>
        </w:r>
      </w:hyperlink>
    </w:p>
    <w:p w14:paraId="393C3829" w14:textId="77777777" w:rsidR="00437557" w:rsidRDefault="00437557" w:rsidP="00437557">
      <w:pPr>
        <w:rPr>
          <w:b/>
        </w:rPr>
      </w:pPr>
    </w:p>
    <w:p w14:paraId="56435AB4" w14:textId="77777777" w:rsidR="00437557" w:rsidRPr="00E32625" w:rsidRDefault="00437557" w:rsidP="00437557">
      <w:pPr>
        <w:rPr>
          <w:rFonts w:asciiTheme="minorHAnsi" w:hAnsiTheme="minorHAnsi" w:cstheme="minorHAnsi"/>
        </w:rPr>
      </w:pPr>
      <w:r>
        <w:rPr>
          <w:b/>
        </w:rPr>
        <w:t>Para acceso al artículo embargado y comentarios, por favor vaya a:</w:t>
      </w:r>
      <w:r>
        <w:t xml:space="preserve"> </w:t>
      </w:r>
      <w:hyperlink r:id="rId9" w:tgtFrame="_blank" w:history="1">
        <w:r w:rsidRPr="00E32625">
          <w:rPr>
            <w:rStyle w:val="Hyperlink"/>
            <w:rFonts w:asciiTheme="minorHAnsi" w:hAnsiTheme="minorHAnsi" w:cstheme="minorHAnsi"/>
            <w:color w:val="1155CC"/>
            <w:shd w:val="clear" w:color="auto" w:fill="FFFFFF"/>
          </w:rPr>
          <w:t>www.thelancet-press.com/embargo/PollutionCommissionUpdate.pdf</w:t>
        </w:r>
      </w:hyperlink>
      <w:r w:rsidRPr="00E32625">
        <w:rPr>
          <w:rStyle w:val="Strong"/>
          <w:rFonts w:asciiTheme="minorHAnsi" w:hAnsiTheme="minorHAnsi" w:cstheme="minorHAnsi"/>
          <w:color w:val="000000"/>
          <w:shd w:val="clear" w:color="auto" w:fill="FFFFFF"/>
        </w:rPr>
        <w:t> </w:t>
      </w:r>
    </w:p>
    <w:p w14:paraId="70FB951D" w14:textId="77777777" w:rsidR="00437557" w:rsidRDefault="00437557" w:rsidP="00437557">
      <w:pPr>
        <w:jc w:val="both"/>
        <w:rPr>
          <w:b/>
        </w:rPr>
      </w:pPr>
    </w:p>
    <w:p w14:paraId="7E945EAF" w14:textId="77777777" w:rsidR="00437557" w:rsidRPr="00E32625" w:rsidRDefault="00437557" w:rsidP="00437557">
      <w:pPr>
        <w:rPr>
          <w:rFonts w:asciiTheme="minorHAnsi" w:hAnsiTheme="minorHAnsi" w:cstheme="minorHAnsi"/>
        </w:rPr>
      </w:pPr>
      <w:r>
        <w:rPr>
          <w:b/>
        </w:rPr>
        <w:t>Para acceso al embargo al Apéndice, por favor vaya a:</w:t>
      </w:r>
      <w:r>
        <w:t xml:space="preserve"> </w:t>
      </w:r>
      <w:r w:rsidRPr="00E32625">
        <w:rPr>
          <w:rStyle w:val="Strong"/>
          <w:rFonts w:asciiTheme="minorHAnsi" w:hAnsiTheme="minorHAnsi" w:cstheme="minorHAnsi"/>
          <w:color w:val="000000"/>
          <w:shd w:val="clear" w:color="auto" w:fill="FFFFFF"/>
        </w:rPr>
        <w:t> </w:t>
      </w:r>
      <w:hyperlink r:id="rId10" w:tgtFrame="_blank" w:history="1">
        <w:r w:rsidRPr="00E32625">
          <w:rPr>
            <w:rStyle w:val="Hyperlink"/>
            <w:rFonts w:asciiTheme="minorHAnsi" w:hAnsiTheme="minorHAnsi" w:cstheme="minorHAnsi"/>
            <w:color w:val="1155CC"/>
            <w:shd w:val="clear" w:color="auto" w:fill="FFFFFF"/>
          </w:rPr>
          <w:t>www.thelancet-press.com/embargo/PollutionCommissionUpdateAPPX.pdf</w:t>
        </w:r>
      </w:hyperlink>
      <w:r w:rsidRPr="00E32625">
        <w:rPr>
          <w:rStyle w:val="Strong"/>
          <w:rFonts w:asciiTheme="minorHAnsi" w:hAnsiTheme="minorHAnsi" w:cstheme="minorHAnsi"/>
          <w:color w:val="000000"/>
          <w:shd w:val="clear" w:color="auto" w:fill="FFFFFF"/>
        </w:rPr>
        <w:t> </w:t>
      </w:r>
    </w:p>
    <w:p w14:paraId="1D01682C" w14:textId="77777777" w:rsidR="00437557" w:rsidRDefault="00437557" w:rsidP="00437557">
      <w:pPr>
        <w:jc w:val="both"/>
        <w:rPr>
          <w:b/>
        </w:rPr>
      </w:pPr>
    </w:p>
    <w:p w14:paraId="5A06188E" w14:textId="77777777" w:rsidR="00437557" w:rsidRPr="00CE41F6" w:rsidRDefault="00437557" w:rsidP="00437557">
      <w:pPr>
        <w:jc w:val="both"/>
        <w:rPr>
          <w:b/>
          <w:sz w:val="18"/>
          <w:szCs w:val="18"/>
        </w:rPr>
      </w:pPr>
      <w:r w:rsidRPr="00CE41F6">
        <w:rPr>
          <w:b/>
          <w:sz w:val="18"/>
          <w:szCs w:val="18"/>
        </w:rPr>
        <w:t xml:space="preserve">NOTA: EL LINK MOSTRADO ARRIBA ES PARA PERIODISTAS SOLAMENTE; SI DESEA PROVEER UN LINK PARA SUS LECTORES, POR FAVOR UTILICE EL SIGUIENTE, QUE LO LLEVA EN VIVO EN EL MOMENTO QUE EL EMBARGO ES </w:t>
      </w:r>
      <w:proofErr w:type="gramStart"/>
      <w:r w:rsidRPr="00CE41F6">
        <w:rPr>
          <w:b/>
          <w:sz w:val="18"/>
          <w:szCs w:val="18"/>
        </w:rPr>
        <w:t>LIBERADO :</w:t>
      </w:r>
      <w:proofErr w:type="gramEnd"/>
      <w:r w:rsidRPr="00CE41F6">
        <w:rPr>
          <w:b/>
          <w:sz w:val="18"/>
          <w:szCs w:val="18"/>
        </w:rPr>
        <w:t xml:space="preserve"> </w:t>
      </w:r>
    </w:p>
    <w:p w14:paraId="36E8DEBF" w14:textId="77777777" w:rsidR="00437557" w:rsidRDefault="00437557" w:rsidP="00437557">
      <w:pPr>
        <w:jc w:val="both"/>
        <w:rPr>
          <w:b/>
        </w:rPr>
      </w:pPr>
    </w:p>
    <w:p w14:paraId="1EB61317" w14:textId="77777777" w:rsidR="00437557" w:rsidRPr="002A08CC" w:rsidRDefault="00437557" w:rsidP="00437557">
      <w:pPr>
        <w:rPr>
          <w:rFonts w:asciiTheme="minorHAnsi" w:hAnsiTheme="minorHAnsi" w:cstheme="minorHAnsi"/>
        </w:rPr>
      </w:pPr>
      <w:hyperlink r:id="rId11" w:tgtFrame="_blank" w:history="1">
        <w:r w:rsidRPr="002A08CC">
          <w:rPr>
            <w:rStyle w:val="Hyperlink"/>
            <w:rFonts w:asciiTheme="minorHAnsi" w:hAnsiTheme="minorHAnsi" w:cstheme="minorHAnsi"/>
            <w:color w:val="1155CC"/>
            <w:shd w:val="clear" w:color="auto" w:fill="FFFFFF"/>
          </w:rPr>
          <w:t>https://www.thelancet.com/journals/lanplh/article/PIIS2542-5196(22)00090-0/fulltext</w:t>
        </w:r>
      </w:hyperlink>
    </w:p>
    <w:p w14:paraId="0D5261FC" w14:textId="7C76DE80" w:rsidR="002454B6" w:rsidRPr="00E32625" w:rsidRDefault="002454B6" w:rsidP="00E32625"/>
    <w:sectPr w:rsidR="002454B6" w:rsidRPr="00E3262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FD60" w14:textId="77777777" w:rsidR="00975F4D" w:rsidRDefault="00975F4D">
      <w:r>
        <w:separator/>
      </w:r>
    </w:p>
  </w:endnote>
  <w:endnote w:type="continuationSeparator" w:id="0">
    <w:p w14:paraId="0A737632" w14:textId="77777777" w:rsidR="00975F4D" w:rsidRDefault="0097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FC"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9E4" w14:textId="7F9C3090" w:rsidR="00681DE8" w:rsidRDefault="007C6E08" w:rsidP="00681DE8">
    <w:pPr>
      <w:pBdr>
        <w:top w:val="nil"/>
        <w:left w:val="nil"/>
        <w:bottom w:val="single" w:sz="6" w:space="1" w:color="auto"/>
        <w:right w:val="nil"/>
        <w:between w:val="nil"/>
      </w:pBdr>
      <w:tabs>
        <w:tab w:val="left" w:pos="2124"/>
      </w:tabs>
      <w:rPr>
        <w:rFonts w:ascii="Arial" w:eastAsia="Arial" w:hAnsi="Arial" w:cs="Arial"/>
        <w:color w:val="595959"/>
        <w:sz w:val="18"/>
        <w:szCs w:val="18"/>
      </w:rPr>
    </w:pPr>
    <w:r>
      <w:rPr>
        <w:noProof/>
      </w:rPr>
      <mc:AlternateContent>
        <mc:Choice Requires="wps">
          <w:drawing>
            <wp:anchor distT="0" distB="0" distL="114300" distR="114300" simplePos="0" relativeHeight="251660288" behindDoc="0" locked="0" layoutInCell="1" hidden="0" allowOverlap="1" wp14:anchorId="4484001A" wp14:editId="1704BE77">
              <wp:simplePos x="0" y="0"/>
              <wp:positionH relativeFrom="column">
                <wp:posOffset>-380999</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5E11D6" w14:textId="77777777" w:rsidR="00681DE8" w:rsidRDefault="00681DE8" w:rsidP="00681DE8">
    <w:pPr>
      <w:pBdr>
        <w:left w:val="nil"/>
        <w:bottom w:val="nil"/>
        <w:right w:val="nil"/>
        <w:between w:val="nil"/>
      </w:pBdr>
      <w:tabs>
        <w:tab w:val="left" w:pos="2124"/>
      </w:tabs>
      <w:rPr>
        <w:rFonts w:ascii="Arial" w:eastAsia="Arial" w:hAnsi="Arial" w:cs="Arial"/>
        <w:color w:val="595959"/>
        <w:sz w:val="18"/>
        <w:szCs w:val="18"/>
      </w:rPr>
    </w:pPr>
  </w:p>
  <w:p w14:paraId="1F3D1D64" w14:textId="43AAEB70" w:rsidR="002454B6" w:rsidRDefault="007C6E08" w:rsidP="00681DE8">
    <w:pPr>
      <w:pBdr>
        <w:left w:val="nil"/>
        <w:bottom w:val="nil"/>
        <w:right w:val="nil"/>
        <w:between w:val="nil"/>
      </w:pBdr>
      <w:tabs>
        <w:tab w:val="left" w:pos="2124"/>
      </w:tabs>
      <w:jc w:val="center"/>
      <w:rPr>
        <w:rFonts w:ascii="Arial" w:eastAsia="Arial" w:hAnsi="Arial" w:cs="Arial"/>
        <w:color w:val="595959"/>
        <w:sz w:val="18"/>
        <w:szCs w:val="18"/>
      </w:rPr>
    </w:pPr>
    <w:r>
      <w:rPr>
        <w:rFonts w:ascii="Arial" w:eastAsia="Arial" w:hAnsi="Arial" w:cs="Arial"/>
        <w:color w:val="595959"/>
        <w:sz w:val="18"/>
        <w:szCs w:val="18"/>
      </w:rPr>
      <w:t xml:space="preserve">GAHP c/o SPTS </w:t>
    </w:r>
    <w:proofErr w:type="spellStart"/>
    <w:r>
      <w:rPr>
        <w:rFonts w:ascii="Arial" w:eastAsia="Arial" w:hAnsi="Arial" w:cs="Arial"/>
        <w:color w:val="595959"/>
        <w:sz w:val="18"/>
        <w:szCs w:val="18"/>
      </w:rPr>
      <w:t>Sarl</w:t>
    </w:r>
    <w:proofErr w:type="spellEnd"/>
    <w:r>
      <w:rPr>
        <w:rFonts w:ascii="Arial" w:eastAsia="Arial" w:hAnsi="Arial" w:cs="Arial"/>
        <w:color w:val="595959"/>
        <w:sz w:val="18"/>
        <w:szCs w:val="18"/>
      </w:rPr>
      <w:t xml:space="preserve">, </w:t>
    </w:r>
    <w:proofErr w:type="spellStart"/>
    <w:r>
      <w:rPr>
        <w:rFonts w:ascii="Arial" w:eastAsia="Arial" w:hAnsi="Arial" w:cs="Arial"/>
        <w:color w:val="595959"/>
        <w:sz w:val="18"/>
        <w:szCs w:val="18"/>
      </w:rPr>
      <w:t>Chemin</w:t>
    </w:r>
    <w:proofErr w:type="spellEnd"/>
    <w:r>
      <w:rPr>
        <w:rFonts w:ascii="Arial" w:eastAsia="Arial" w:hAnsi="Arial" w:cs="Arial"/>
        <w:color w:val="595959"/>
        <w:sz w:val="18"/>
        <w:szCs w:val="18"/>
      </w:rPr>
      <w:t xml:space="preserve"> de la </w:t>
    </w:r>
    <w:proofErr w:type="spellStart"/>
    <w:r>
      <w:rPr>
        <w:rFonts w:ascii="Arial" w:eastAsia="Arial" w:hAnsi="Arial" w:cs="Arial"/>
        <w:color w:val="595959"/>
        <w:sz w:val="18"/>
        <w:szCs w:val="18"/>
      </w:rPr>
      <w:t>Chesnaie</w:t>
    </w:r>
    <w:proofErr w:type="spellEnd"/>
    <w:r>
      <w:rPr>
        <w:rFonts w:ascii="Arial" w:eastAsia="Arial" w:hAnsi="Arial" w:cs="Arial"/>
        <w:color w:val="595959"/>
        <w:sz w:val="18"/>
        <w:szCs w:val="18"/>
      </w:rPr>
      <w:t xml:space="preserve"> 8 - 1219 </w:t>
    </w:r>
    <w:proofErr w:type="spellStart"/>
    <w:r>
      <w:rPr>
        <w:rFonts w:ascii="Arial" w:eastAsia="Arial" w:hAnsi="Arial" w:cs="Arial"/>
        <w:color w:val="595959"/>
        <w:sz w:val="18"/>
        <w:szCs w:val="18"/>
      </w:rPr>
      <w:t>Châtelaine</w:t>
    </w:r>
    <w:proofErr w:type="spellEnd"/>
    <w:r>
      <w:rPr>
        <w:rFonts w:ascii="Arial" w:eastAsia="Arial" w:hAnsi="Arial" w:cs="Arial"/>
        <w:color w:val="595959"/>
        <w:sz w:val="18"/>
        <w:szCs w:val="18"/>
      </w:rPr>
      <w:t>, Gen</w:t>
    </w:r>
    <w:r w:rsidR="00681DE8">
      <w:rPr>
        <w:rFonts w:ascii="Arial" w:eastAsia="Arial" w:hAnsi="Arial" w:cs="Arial"/>
        <w:color w:val="595959"/>
        <w:sz w:val="18"/>
        <w:szCs w:val="18"/>
      </w:rPr>
      <w:t>e</w:t>
    </w:r>
    <w:r>
      <w:rPr>
        <w:rFonts w:ascii="Arial" w:eastAsia="Arial" w:hAnsi="Arial" w:cs="Arial"/>
        <w:color w:val="595959"/>
        <w:sz w:val="18"/>
        <w:szCs w:val="18"/>
      </w:rPr>
      <w:t>v</w:t>
    </w:r>
    <w:r w:rsidR="00681DE8">
      <w:rPr>
        <w:rFonts w:ascii="Arial" w:eastAsia="Arial" w:hAnsi="Arial" w:cs="Arial"/>
        <w:color w:val="595959"/>
        <w:sz w:val="18"/>
        <w:szCs w:val="18"/>
      </w:rPr>
      <w:t>a</w:t>
    </w:r>
    <w:r>
      <w:rPr>
        <w:rFonts w:ascii="Arial" w:eastAsia="Arial" w:hAnsi="Arial" w:cs="Arial"/>
        <w:color w:val="595959"/>
        <w:sz w:val="18"/>
        <w:szCs w:val="18"/>
      </w:rPr>
      <w:t xml:space="preserve">, </w:t>
    </w:r>
    <w:proofErr w:type="spellStart"/>
    <w:r>
      <w:rPr>
        <w:rFonts w:ascii="Arial" w:eastAsia="Arial" w:hAnsi="Arial" w:cs="Arial"/>
        <w:color w:val="595959"/>
        <w:sz w:val="18"/>
        <w:szCs w:val="18"/>
      </w:rPr>
      <w:t>Switzerland</w:t>
    </w:r>
    <w:proofErr w:type="spellEnd"/>
    <w:r>
      <w:rPr>
        <w:rFonts w:ascii="Arial" w:eastAsia="Arial" w:hAnsi="Arial" w:cs="Arial"/>
        <w:color w:val="595959"/>
        <w:sz w:val="18"/>
        <w:szCs w:val="18"/>
      </w:rPr>
      <w:t xml:space="preserve">  www.gahp.net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92C" w14:textId="77777777" w:rsidR="00681DE8" w:rsidRDefault="0068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9F0E" w14:textId="77777777" w:rsidR="00975F4D" w:rsidRDefault="00975F4D">
      <w:r>
        <w:separator/>
      </w:r>
    </w:p>
  </w:footnote>
  <w:footnote w:type="continuationSeparator" w:id="0">
    <w:p w14:paraId="0E8F793B" w14:textId="77777777" w:rsidR="00975F4D" w:rsidRDefault="0097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98F" w14:textId="77777777" w:rsidR="00681DE8" w:rsidRDefault="0068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2D0" w14:textId="7014E783" w:rsidR="002454B6" w:rsidRDefault="00681DE8">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8240" behindDoc="0" locked="0" layoutInCell="1" hidden="0" allowOverlap="1" wp14:anchorId="3ECFAC4F" wp14:editId="11158656">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sidR="007C6E08">
      <w:rPr>
        <w:color w:val="000000"/>
      </w:rPr>
      <w:tab/>
    </w:r>
    <w:r w:rsidR="007C6E08">
      <w:rPr>
        <w:color w:val="000000"/>
      </w:rPr>
      <w:tab/>
    </w:r>
  </w:p>
  <w:p w14:paraId="6E55BCFF" w14:textId="77777777" w:rsidR="002454B6" w:rsidRDefault="002454B6">
    <w:pPr>
      <w:pBdr>
        <w:top w:val="nil"/>
        <w:left w:val="nil"/>
        <w:bottom w:val="nil"/>
        <w:right w:val="nil"/>
        <w:between w:val="nil"/>
      </w:pBdr>
      <w:tabs>
        <w:tab w:val="center" w:pos="4320"/>
        <w:tab w:val="right" w:pos="8640"/>
      </w:tabs>
      <w:rPr>
        <w:color w:val="000000"/>
      </w:rPr>
    </w:pPr>
  </w:p>
  <w:p w14:paraId="6A407101" w14:textId="77777777" w:rsidR="002454B6" w:rsidRDefault="007C6E08">
    <w:pPr>
      <w:pBdr>
        <w:top w:val="nil"/>
        <w:left w:val="nil"/>
        <w:bottom w:val="nil"/>
        <w:right w:val="nil"/>
        <w:between w:val="nil"/>
      </w:pBdr>
      <w:tabs>
        <w:tab w:val="center" w:pos="4320"/>
        <w:tab w:val="right" w:pos="8640"/>
      </w:tabs>
      <w:rPr>
        <w:color w:val="CD6B15"/>
      </w:rPr>
    </w:pPr>
    <w:r>
      <w:rPr>
        <w:color w:val="CD6B15"/>
      </w:rPr>
      <w:t xml:space="preserve">                                                 </w:t>
    </w:r>
  </w:p>
  <w:p w14:paraId="453C22A2" w14:textId="2ACE52EA" w:rsidR="002454B6" w:rsidRDefault="00681DE8">
    <w:pPr>
      <w:pBdr>
        <w:top w:val="nil"/>
        <w:left w:val="nil"/>
        <w:bottom w:val="nil"/>
        <w:right w:val="nil"/>
        <w:between w:val="nil"/>
      </w:pBdr>
      <w:tabs>
        <w:tab w:val="center" w:pos="4320"/>
        <w:tab w:val="right" w:pos="8640"/>
      </w:tabs>
      <w:jc w:val="right"/>
      <w:rPr>
        <w:rFonts w:ascii="Arial" w:eastAsia="Arial" w:hAnsi="Arial" w:cs="Arial"/>
        <w:color w:val="CD6B15"/>
        <w:sz w:val="22"/>
        <w:szCs w:val="22"/>
      </w:rPr>
    </w:pPr>
    <w:r>
      <w:rPr>
        <w:rFonts w:ascii="Arial" w:eastAsia="Arial" w:hAnsi="Arial" w:cs="Arial"/>
        <w:color w:val="CD6B15"/>
        <w:sz w:val="22"/>
        <w:szCs w:val="22"/>
      </w:rPr>
      <w:tab/>
    </w:r>
    <w:proofErr w:type="spellStart"/>
    <w:r w:rsidR="007C6E08">
      <w:rPr>
        <w:rFonts w:ascii="Arial" w:eastAsia="Arial" w:hAnsi="Arial" w:cs="Arial"/>
        <w:color w:val="CD6B15"/>
        <w:sz w:val="22"/>
        <w:szCs w:val="22"/>
      </w:rPr>
      <w:t>Partnering</w:t>
    </w:r>
    <w:proofErr w:type="spellEnd"/>
    <w:r w:rsidR="007C6E08">
      <w:rPr>
        <w:rFonts w:ascii="Arial" w:eastAsia="Arial" w:hAnsi="Arial" w:cs="Arial"/>
        <w:color w:val="CD6B15"/>
        <w:sz w:val="22"/>
        <w:szCs w:val="22"/>
      </w:rPr>
      <w:t xml:space="preserve"> </w:t>
    </w:r>
    <w:proofErr w:type="spellStart"/>
    <w:r w:rsidR="007C6E08">
      <w:rPr>
        <w:rFonts w:ascii="Arial" w:eastAsia="Arial" w:hAnsi="Arial" w:cs="Arial"/>
        <w:color w:val="CD6B15"/>
        <w:sz w:val="22"/>
        <w:szCs w:val="22"/>
      </w:rPr>
      <w:t>for</w:t>
    </w:r>
    <w:proofErr w:type="spellEnd"/>
    <w:r w:rsidR="007C6E08">
      <w:rPr>
        <w:rFonts w:ascii="Arial" w:eastAsia="Arial" w:hAnsi="Arial" w:cs="Arial"/>
        <w:color w:val="CD6B15"/>
        <w:sz w:val="22"/>
        <w:szCs w:val="22"/>
      </w:rPr>
      <w:t xml:space="preserve"> </w:t>
    </w:r>
    <w:proofErr w:type="spellStart"/>
    <w:r w:rsidR="007C6E08">
      <w:rPr>
        <w:rFonts w:ascii="Arial" w:eastAsia="Arial" w:hAnsi="Arial" w:cs="Arial"/>
        <w:color w:val="CD6B15"/>
        <w:sz w:val="22"/>
        <w:szCs w:val="22"/>
      </w:rPr>
      <w:t>solutions</w:t>
    </w:r>
    <w:proofErr w:type="spellEnd"/>
    <w:r w:rsidR="007C6E08">
      <w:rPr>
        <w:rFonts w:ascii="Arial" w:eastAsia="Arial" w:hAnsi="Arial" w:cs="Arial"/>
        <w:color w:val="CD6B15"/>
        <w:sz w:val="22"/>
        <w:szCs w:val="22"/>
      </w:rPr>
      <w:t xml:space="preserve"> to </w:t>
    </w:r>
    <w:proofErr w:type="spellStart"/>
    <w:r w:rsidR="007C6E08">
      <w:rPr>
        <w:rFonts w:ascii="Arial" w:eastAsia="Arial" w:hAnsi="Arial" w:cs="Arial"/>
        <w:color w:val="CD6B15"/>
        <w:sz w:val="22"/>
        <w:szCs w:val="22"/>
      </w:rPr>
      <w:t>pollution</w:t>
    </w:r>
    <w:proofErr w:type="spellEnd"/>
    <w:r w:rsidR="007C6E08">
      <w:rPr>
        <w:rFonts w:ascii="Arial" w:eastAsia="Arial" w:hAnsi="Arial" w:cs="Arial"/>
        <w:color w:val="CD6B15"/>
        <w:sz w:val="22"/>
        <w:szCs w:val="22"/>
      </w:rPr>
      <w:t xml:space="preserve"> </w:t>
    </w:r>
    <w:proofErr w:type="spellStart"/>
    <w:r w:rsidR="007C6E08">
      <w:rPr>
        <w:rFonts w:ascii="Arial" w:eastAsia="Arial" w:hAnsi="Arial" w:cs="Arial"/>
        <w:color w:val="CD6B15"/>
        <w:sz w:val="22"/>
        <w:szCs w:val="22"/>
      </w:rPr>
      <w:t>problems</w:t>
    </w:r>
    <w:proofErr w:type="spellEnd"/>
    <w:r w:rsidR="007C6E08">
      <w:rPr>
        <w:rFonts w:ascii="Arial" w:eastAsia="Arial" w:hAnsi="Arial" w:cs="Arial"/>
        <w:color w:val="CD6B15"/>
        <w:sz w:val="22"/>
        <w:szCs w:val="22"/>
      </w:rPr>
      <w:t xml:space="preserve"> </w:t>
    </w:r>
  </w:p>
  <w:p w14:paraId="10B2E12E" w14:textId="2410926E" w:rsidR="00681DE8" w:rsidRDefault="00681DE8">
    <w:pPr>
      <w:pBdr>
        <w:top w:val="nil"/>
        <w:left w:val="nil"/>
        <w:bottom w:val="single" w:sz="6" w:space="1" w:color="auto"/>
        <w:right w:val="nil"/>
        <w:between w:val="nil"/>
      </w:pBdr>
      <w:tabs>
        <w:tab w:val="center" w:pos="4320"/>
        <w:tab w:val="right" w:pos="8640"/>
      </w:tabs>
      <w:jc w:val="right"/>
      <w:rPr>
        <w:rFonts w:ascii="Arial" w:eastAsia="Arial" w:hAnsi="Arial" w:cs="Arial"/>
        <w:color w:val="CD6B15"/>
        <w:sz w:val="22"/>
        <w:szCs w:val="22"/>
      </w:rPr>
    </w:pPr>
  </w:p>
  <w:p w14:paraId="2F097094" w14:textId="77777777" w:rsidR="002454B6" w:rsidRDefault="007C6E08">
    <w:pPr>
      <w:pBdr>
        <w:top w:val="nil"/>
        <w:left w:val="nil"/>
        <w:bottom w:val="nil"/>
        <w:right w:val="nil"/>
        <w:between w:val="nil"/>
      </w:pBdr>
      <w:tabs>
        <w:tab w:val="left" w:pos="2124"/>
      </w:tabs>
      <w:rPr>
        <w:color w:val="000000"/>
      </w:rPr>
    </w:pPr>
    <w:r>
      <w:rPr>
        <w:noProof/>
      </w:rPr>
      <mc:AlternateContent>
        <mc:Choice Requires="wps">
          <w:drawing>
            <wp:anchor distT="0" distB="0" distL="114300" distR="114300" simplePos="0" relativeHeight="251659264" behindDoc="0" locked="0" layoutInCell="1" hidden="0" allowOverlap="1" wp14:anchorId="110A80ED" wp14:editId="5B00B09B">
              <wp:simplePos x="0" y="0"/>
              <wp:positionH relativeFrom="column">
                <wp:posOffset>-380999</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E84" w14:textId="77777777" w:rsidR="00681DE8" w:rsidRDefault="0068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2BD"/>
    <w:multiLevelType w:val="multilevel"/>
    <w:tmpl w:val="553C7B0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Calibri" w:eastAsia="Calibri" w:hAnsi="Calibri" w:cs="Calibri"/>
        <w:b w:val="0"/>
        <w:color w:val="202124"/>
        <w:u w:val="none"/>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40FF1"/>
    <w:multiLevelType w:val="multilevel"/>
    <w:tmpl w:val="7FC63ECA"/>
    <w:lvl w:ilvl="0">
      <w:start w:val="1"/>
      <w:numFmt w:val="bullet"/>
      <w:lvlText w:val="-"/>
      <w:lvlJc w:val="left"/>
      <w:pPr>
        <w:ind w:left="720" w:hanging="360"/>
      </w:pPr>
      <w:rPr>
        <w:rFonts w:ascii="Arial" w:eastAsia="Arial" w:hAnsi="Arial" w:cs="Arial"/>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823E7"/>
    <w:multiLevelType w:val="multilevel"/>
    <w:tmpl w:val="0B96BBE2"/>
    <w:lvl w:ilvl="0">
      <w:start w:val="1"/>
      <w:numFmt w:val="bullet"/>
      <w:lvlText w:val="-"/>
      <w:lvlJc w:val="left"/>
      <w:pPr>
        <w:ind w:left="1440" w:hanging="360"/>
      </w:pPr>
      <w:rPr>
        <w:rFonts w:ascii="Arial" w:eastAsia="Arial" w:hAnsi="Arial" w:cs="Arial"/>
        <w: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F413524"/>
    <w:multiLevelType w:val="multilevel"/>
    <w:tmpl w:val="C8749DA0"/>
    <w:lvl w:ilvl="0">
      <w:start w:val="1"/>
      <w:numFmt w:val="bullet"/>
      <w:lvlText w:val="-"/>
      <w:lvlJc w:val="left"/>
      <w:pPr>
        <w:ind w:left="720" w:hanging="360"/>
      </w:pPr>
      <w:rPr>
        <w:rFonts w:ascii="Calibri" w:eastAsia="Calibri" w:hAnsi="Calibri" w:cs="Calibri"/>
        <w:b w:val="0"/>
        <w:color w:val="2021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446D19"/>
    <w:multiLevelType w:val="multilevel"/>
    <w:tmpl w:val="54524ED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2D528E"/>
    <w:multiLevelType w:val="multilevel"/>
    <w:tmpl w:val="C2D84DCE"/>
    <w:lvl w:ilvl="0">
      <w:start w:val="1"/>
      <w:numFmt w:val="bullet"/>
      <w:lvlText w:val="-"/>
      <w:lvlJc w:val="left"/>
      <w:pPr>
        <w:ind w:left="1440" w:hanging="360"/>
      </w:pPr>
      <w:rPr>
        <w:rFonts w:ascii="Arial" w:eastAsia="Arial" w:hAnsi="Arial" w:cs="Arial"/>
        <w: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3BD457C"/>
    <w:multiLevelType w:val="multilevel"/>
    <w:tmpl w:val="BF6639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D81D80"/>
    <w:multiLevelType w:val="multilevel"/>
    <w:tmpl w:val="F468E6F4"/>
    <w:lvl w:ilvl="0">
      <w:start w:val="1"/>
      <w:numFmt w:val="bullet"/>
      <w:lvlText w:val="-"/>
      <w:lvlJc w:val="left"/>
      <w:pPr>
        <w:ind w:left="360" w:hanging="360"/>
      </w:pPr>
      <w:rPr>
        <w:rFonts w:ascii="Calibri" w:eastAsia="Calibri" w:hAnsi="Calibri" w:cs="Calibri"/>
        <w:b w:val="0"/>
        <w:color w:val="202124"/>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73E7283"/>
    <w:multiLevelType w:val="multilevel"/>
    <w:tmpl w:val="CF5CA8C0"/>
    <w:lvl w:ilvl="0">
      <w:numFmt w:val="bullet"/>
      <w:lvlText w:val="•"/>
      <w:lvlJc w:val="left"/>
      <w:pPr>
        <w:ind w:left="720" w:hanging="360"/>
      </w:pPr>
      <w:rPr>
        <w:rFonts w:ascii="inherit" w:eastAsia="inherit" w:hAnsi="inherit" w:cs="inheri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3B5EC0"/>
    <w:multiLevelType w:val="multilevel"/>
    <w:tmpl w:val="59A8F336"/>
    <w:lvl w:ilvl="0">
      <w:start w:val="1"/>
      <w:numFmt w:val="bullet"/>
      <w:lvlText w:val="-"/>
      <w:lvlJc w:val="left"/>
      <w:pPr>
        <w:ind w:left="360" w:hanging="360"/>
      </w:pPr>
      <w:rPr>
        <w:rFonts w:ascii="Arial" w:eastAsia="Arial" w:hAnsi="Arial" w:cs="Arial"/>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170" w:hanging="360"/>
      </w:pPr>
      <w:rPr>
        <w:rFonts w:ascii="Courier New" w:eastAsia="Courier New" w:hAnsi="Courier New" w:cs="Courier New"/>
      </w:rPr>
    </w:lvl>
    <w:lvl w:ilvl="3">
      <w:start w:val="1"/>
      <w:numFmt w:val="bullet"/>
      <w:lvlText w:val="­"/>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2CF4D07"/>
    <w:multiLevelType w:val="multilevel"/>
    <w:tmpl w:val="7D1C3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i/>
      </w:rPr>
    </w:lvl>
    <w:lvl w:ilvl="2">
      <w:start w:val="1"/>
      <w:numFmt w:val="bullet"/>
      <w:lvlText w:val="­"/>
      <w:lvlJc w:val="left"/>
      <w:pPr>
        <w:ind w:left="1170" w:hanging="360"/>
      </w:pPr>
      <w:rPr>
        <w:rFonts w:ascii="Courier New" w:eastAsia="Courier New" w:hAnsi="Courier New" w:cs="Courier New"/>
      </w:rPr>
    </w:lvl>
    <w:lvl w:ilvl="3">
      <w:start w:val="1"/>
      <w:numFmt w:val="bullet"/>
      <w:lvlText w:val="­"/>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4C96B85"/>
    <w:multiLevelType w:val="multilevel"/>
    <w:tmpl w:val="2DA69AEA"/>
    <w:lvl w:ilvl="0">
      <w:start w:val="1"/>
      <w:numFmt w:val="bullet"/>
      <w:lvlText w:val="-"/>
      <w:lvlJc w:val="left"/>
      <w:pPr>
        <w:ind w:left="720" w:hanging="360"/>
      </w:pPr>
      <w:rPr>
        <w:rFonts w:ascii="Calibri" w:eastAsia="Calibri" w:hAnsi="Calibri" w:cs="Calibri"/>
        <w:b w:val="0"/>
        <w:color w:val="2021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9C7BC5"/>
    <w:multiLevelType w:val="multilevel"/>
    <w:tmpl w:val="0204B48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800" w:hanging="360"/>
      </w:pPr>
      <w:rPr>
        <w:rFonts w:ascii="Arial" w:eastAsia="Arial" w:hAnsi="Arial" w:cs="Arial"/>
        <w:i/>
      </w:rPr>
    </w:lvl>
    <w:lvl w:ilvl="3">
      <w:start w:val="1"/>
      <w:numFmt w:val="bullet"/>
      <w:lvlText w:val="-"/>
      <w:lvlJc w:val="left"/>
      <w:pPr>
        <w:ind w:left="2880" w:hanging="360"/>
      </w:pPr>
      <w:rPr>
        <w:rFonts w:ascii="Calibri" w:eastAsia="Calibri" w:hAnsi="Calibri" w:cs="Calibri"/>
        <w:b w:val="0"/>
        <w:color w:val="202124"/>
        <w:u w:val="none"/>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2"/>
  </w:num>
  <w:num w:numId="4">
    <w:abstractNumId w:val="4"/>
  </w:num>
  <w:num w:numId="5">
    <w:abstractNumId w:val="0"/>
  </w:num>
  <w:num w:numId="6">
    <w:abstractNumId w:val="5"/>
  </w:num>
  <w:num w:numId="7">
    <w:abstractNumId w:val="7"/>
  </w:num>
  <w:num w:numId="8">
    <w:abstractNumId w:val="11"/>
  </w:num>
  <w:num w:numId="9">
    <w:abstractNumId w:val="10"/>
  </w:num>
  <w:num w:numId="10">
    <w:abstractNumId w:val="12"/>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B6"/>
    <w:rsid w:val="002454B6"/>
    <w:rsid w:val="002E4916"/>
    <w:rsid w:val="00437557"/>
    <w:rsid w:val="004819F5"/>
    <w:rsid w:val="004F5B60"/>
    <w:rsid w:val="005714AB"/>
    <w:rsid w:val="006235AC"/>
    <w:rsid w:val="00633744"/>
    <w:rsid w:val="00681DE8"/>
    <w:rsid w:val="006C5E61"/>
    <w:rsid w:val="006F22F8"/>
    <w:rsid w:val="007C6E08"/>
    <w:rsid w:val="00834860"/>
    <w:rsid w:val="00975F4D"/>
    <w:rsid w:val="00997F9D"/>
    <w:rsid w:val="00A03029"/>
    <w:rsid w:val="00A13ACE"/>
    <w:rsid w:val="00AD0F1B"/>
    <w:rsid w:val="00D35EF1"/>
    <w:rsid w:val="00E32625"/>
    <w:rsid w:val="00E67654"/>
    <w:rsid w:val="00E8169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1381564"/>
  <w15:docId w15:val="{6EDAC520-9FC0-B946-99EA-AF01293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DE8"/>
    <w:pPr>
      <w:tabs>
        <w:tab w:val="center" w:pos="4680"/>
        <w:tab w:val="right" w:pos="9360"/>
      </w:tabs>
    </w:pPr>
  </w:style>
  <w:style w:type="character" w:customStyle="1" w:styleId="HeaderChar">
    <w:name w:val="Header Char"/>
    <w:basedOn w:val="DefaultParagraphFont"/>
    <w:link w:val="Header"/>
    <w:uiPriority w:val="99"/>
    <w:rsid w:val="00681DE8"/>
  </w:style>
  <w:style w:type="paragraph" w:styleId="Footer">
    <w:name w:val="footer"/>
    <w:basedOn w:val="Normal"/>
    <w:link w:val="FooterChar"/>
    <w:uiPriority w:val="99"/>
    <w:unhideWhenUsed/>
    <w:rsid w:val="00681DE8"/>
    <w:pPr>
      <w:tabs>
        <w:tab w:val="center" w:pos="4680"/>
        <w:tab w:val="right" w:pos="9360"/>
      </w:tabs>
    </w:pPr>
  </w:style>
  <w:style w:type="character" w:customStyle="1" w:styleId="FooterChar">
    <w:name w:val="Footer Char"/>
    <w:basedOn w:val="DefaultParagraphFont"/>
    <w:link w:val="Footer"/>
    <w:uiPriority w:val="99"/>
    <w:rsid w:val="00681DE8"/>
  </w:style>
  <w:style w:type="paragraph" w:styleId="ListParagraph">
    <w:name w:val="List Paragraph"/>
    <w:basedOn w:val="Normal"/>
    <w:uiPriority w:val="34"/>
    <w:qFormat/>
    <w:rsid w:val="00633744"/>
    <w:pPr>
      <w:ind w:left="720"/>
      <w:contextualSpacing/>
    </w:pPr>
    <w:rPr>
      <w:sz w:val="22"/>
      <w:szCs w:val="22"/>
    </w:rPr>
  </w:style>
  <w:style w:type="character" w:customStyle="1" w:styleId="y2iqfc">
    <w:name w:val="y2iqfc"/>
    <w:basedOn w:val="DefaultParagraphFont"/>
    <w:rsid w:val="006C5E61"/>
  </w:style>
  <w:style w:type="character" w:styleId="Emphasis">
    <w:name w:val="Emphasis"/>
    <w:basedOn w:val="DefaultParagraphFont"/>
    <w:uiPriority w:val="20"/>
    <w:qFormat/>
    <w:rsid w:val="006C5E61"/>
    <w:rPr>
      <w:i/>
      <w:iCs/>
    </w:rPr>
  </w:style>
  <w:style w:type="character" w:styleId="Hyperlink">
    <w:name w:val="Hyperlink"/>
    <w:basedOn w:val="DefaultParagraphFont"/>
    <w:uiPriority w:val="99"/>
    <w:unhideWhenUsed/>
    <w:rsid w:val="00E32625"/>
    <w:rPr>
      <w:color w:val="0563C1" w:themeColor="hyperlink"/>
      <w:u w:val="single"/>
    </w:rPr>
  </w:style>
  <w:style w:type="character" w:styleId="Strong">
    <w:name w:val="Strong"/>
    <w:basedOn w:val="DefaultParagraphFont"/>
    <w:uiPriority w:val="22"/>
    <w:qFormat/>
    <w:rsid w:val="00E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5149">
      <w:bodyDiv w:val="1"/>
      <w:marLeft w:val="0"/>
      <w:marRight w:val="0"/>
      <w:marTop w:val="0"/>
      <w:marBottom w:val="0"/>
      <w:divBdr>
        <w:top w:val="none" w:sz="0" w:space="0" w:color="auto"/>
        <w:left w:val="none" w:sz="0" w:space="0" w:color="auto"/>
        <w:bottom w:val="none" w:sz="0" w:space="0" w:color="auto"/>
        <w:right w:val="none" w:sz="0" w:space="0" w:color="auto"/>
      </w:divBdr>
    </w:div>
    <w:div w:id="1314523852">
      <w:bodyDiv w:val="1"/>
      <w:marLeft w:val="0"/>
      <w:marRight w:val="0"/>
      <w:marTop w:val="0"/>
      <w:marBottom w:val="0"/>
      <w:divBdr>
        <w:top w:val="none" w:sz="0" w:space="0" w:color="auto"/>
        <w:left w:val="none" w:sz="0" w:space="0" w:color="auto"/>
        <w:bottom w:val="none" w:sz="0" w:space="0" w:color="auto"/>
        <w:right w:val="none" w:sz="0" w:space="0" w:color="auto"/>
      </w:divBdr>
    </w:div>
    <w:div w:id="133182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ahp.net/wp-content/uploads/2022/05/22TLPlanet0196.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lancet.com/journals/lanplh/article/PIIS2542-5196(22)00090-0/fulltex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helancet-press.com/embargo/PollutionCommissionUpdateAPPX.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lancet-press.com/embargo/PollutionCommissionUpdate.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UexzAzTEdorvPpnoN3ovWDe8Q==">AMUW2mWNtr4PI7Wl6s+c+NWdWhfIUXAHpO29ncsP28OScPo7yjdxAPE/qweDnk8Djg15g5Up8XGGVw6QVhqbCeoQg022/dA7uw==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Urbaez</dc:creator>
  <cp:lastModifiedBy>arantxa@gahp.net</cp:lastModifiedBy>
  <cp:revision>2</cp:revision>
  <dcterms:created xsi:type="dcterms:W3CDTF">2022-05-17T08:09:00Z</dcterms:created>
  <dcterms:modified xsi:type="dcterms:W3CDTF">2022-05-17T08:09:00Z</dcterms:modified>
</cp:coreProperties>
</file>