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BC4CD" w14:textId="77777777" w:rsidR="001B0C25" w:rsidRDefault="001B0C25">
      <w:pPr>
        <w:autoSpaceDE w:val="0"/>
        <w:autoSpaceDN w:val="0"/>
        <w:spacing w:after="0" w:line="240" w:lineRule="auto"/>
        <w:rPr>
          <w:b/>
          <w:i/>
          <w:color w:val="00B050"/>
          <w:sz w:val="28"/>
        </w:rPr>
      </w:pPr>
      <w:bookmarkStart w:id="0" w:name="_Hlk528225381"/>
    </w:p>
    <w:p w14:paraId="2E5B021C" w14:textId="77777777" w:rsidR="001B0C25" w:rsidRDefault="001B0C25">
      <w:pPr>
        <w:autoSpaceDE w:val="0"/>
        <w:autoSpaceDN w:val="0"/>
        <w:spacing w:after="0" w:line="240" w:lineRule="auto"/>
        <w:rPr>
          <w:b/>
          <w:i/>
          <w:color w:val="00B050"/>
          <w:sz w:val="28"/>
        </w:rPr>
      </w:pPr>
    </w:p>
    <w:p w14:paraId="0491C7A6" w14:textId="04D9B0A9" w:rsidR="00B02C23" w:rsidRDefault="007D67E9">
      <w:pPr>
        <w:autoSpaceDE w:val="0"/>
        <w:autoSpaceDN w:val="0"/>
        <w:spacing w:after="0" w:line="240" w:lineRule="auto"/>
        <w:rPr>
          <w:b/>
          <w:sz w:val="28"/>
        </w:rPr>
      </w:pPr>
      <w:r w:rsidRPr="008D7F5F">
        <w:rPr>
          <w:b/>
          <w:i/>
          <w:color w:val="00B050"/>
          <w:sz w:val="28"/>
        </w:rPr>
        <w:t>The Lancet Planetary Health）</w:t>
      </w:r>
      <w:r>
        <w:rPr>
          <w:b/>
          <w:sz w:val="28"/>
        </w:rPr>
        <w:t xml:space="preserve">:2019 </w:t>
      </w:r>
      <w:proofErr w:type="spellStart"/>
      <w:r>
        <w:rPr>
          <w:b/>
          <w:sz w:val="28"/>
        </w:rPr>
        <w:t>年，污染导致</w:t>
      </w:r>
      <w:proofErr w:type="spellEnd"/>
      <w:r>
        <w:rPr>
          <w:b/>
          <w:sz w:val="28"/>
        </w:rPr>
        <w:t xml:space="preserve"> 900 </w:t>
      </w:r>
      <w:proofErr w:type="spellStart"/>
      <w:r>
        <w:rPr>
          <w:b/>
          <w:sz w:val="28"/>
        </w:rPr>
        <w:t>万人死亡，四年以来进展甚微</w:t>
      </w:r>
      <w:proofErr w:type="spellEnd"/>
    </w:p>
    <w:p w14:paraId="67A4E572" w14:textId="77777777" w:rsidR="00B02C23" w:rsidRDefault="00B02C23">
      <w:pPr>
        <w:spacing w:after="0" w:line="240" w:lineRule="auto"/>
      </w:pPr>
    </w:p>
    <w:p w14:paraId="49E1A506" w14:textId="5297AF0F" w:rsidR="00B02C23" w:rsidRPr="00485238" w:rsidRDefault="007D67E9">
      <w:pPr>
        <w:pStyle w:val="ListParagraph"/>
        <w:numPr>
          <w:ilvl w:val="0"/>
          <w:numId w:val="1"/>
        </w:numPr>
        <w:spacing w:after="0" w:line="240" w:lineRule="auto"/>
        <w:rPr>
          <w:b/>
          <w:iCs/>
          <w:lang w:eastAsia="zh-CN"/>
        </w:rPr>
      </w:pPr>
      <w:r w:rsidRPr="00485238">
        <w:rPr>
          <w:b/>
          <w:iCs/>
          <w:lang w:eastAsia="zh-CN"/>
        </w:rPr>
        <w:t>柳叶刀污染与健康重大报告（</w:t>
      </w:r>
      <w:r w:rsidRPr="00485238">
        <w:rPr>
          <w:b/>
          <w:i/>
          <w:lang w:eastAsia="zh-CN"/>
        </w:rPr>
        <w:t>The Lancet</w:t>
      </w:r>
      <w:r w:rsidRPr="00485238">
        <w:rPr>
          <w:b/>
          <w:iCs/>
          <w:lang w:eastAsia="zh-CN"/>
        </w:rPr>
        <w:t xml:space="preserve"> Commission on Pollution and Health）的更新版本显示，2019 年有 900 万人（相当于全球死亡人数的六分之一）死于污染，与2015年的数字相同。</w:t>
      </w:r>
    </w:p>
    <w:p w14:paraId="7A15A8CE" w14:textId="06549FCD" w:rsidR="00B02C23" w:rsidRPr="00485238" w:rsidRDefault="007D67E9">
      <w:pPr>
        <w:pStyle w:val="ListParagraph"/>
        <w:numPr>
          <w:ilvl w:val="0"/>
          <w:numId w:val="1"/>
        </w:numPr>
        <w:spacing w:after="0" w:line="240" w:lineRule="auto"/>
        <w:rPr>
          <w:b/>
          <w:iCs/>
          <w:lang w:eastAsia="zh-CN"/>
        </w:rPr>
      </w:pPr>
      <w:r w:rsidRPr="00485238">
        <w:rPr>
          <w:b/>
          <w:iCs/>
          <w:lang w:eastAsia="zh-CN"/>
        </w:rPr>
        <w:t>现代污染类型（例如，环境空气污染和有毒化学品污染）导致的死亡人数的增加，令在减少与极端贫困相关的污染（例如，室内空气污染和水污染）导致的死亡人数方面取得的进展黯然失色。</w:t>
      </w:r>
    </w:p>
    <w:p w14:paraId="50506B60" w14:textId="08E33416" w:rsidR="00B02C23" w:rsidRPr="00485238" w:rsidRDefault="007D67E9">
      <w:pPr>
        <w:pStyle w:val="ListParagraph"/>
        <w:numPr>
          <w:ilvl w:val="0"/>
          <w:numId w:val="1"/>
        </w:numPr>
        <w:spacing w:after="0" w:line="240" w:lineRule="auto"/>
        <w:rPr>
          <w:b/>
          <w:iCs/>
          <w:lang w:eastAsia="zh-CN"/>
        </w:rPr>
      </w:pPr>
      <w:r w:rsidRPr="00485238">
        <w:rPr>
          <w:b/>
          <w:iCs/>
          <w:lang w:eastAsia="zh-CN"/>
        </w:rPr>
        <w:t>污染仍然是世界上导致疾病和过早死亡的最大环境风险因素，尤其</w:t>
      </w:r>
      <w:r w:rsidR="001B49CF" w:rsidRPr="00485238">
        <w:rPr>
          <w:rFonts w:hint="eastAsia"/>
          <w:b/>
          <w:iCs/>
          <w:lang w:eastAsia="zh-CN"/>
        </w:rPr>
        <w:t>在</w:t>
      </w:r>
      <w:r w:rsidRPr="00485238">
        <w:rPr>
          <w:b/>
          <w:iCs/>
          <w:lang w:eastAsia="zh-CN"/>
        </w:rPr>
        <w:t>低收入和中等收入国家。</w:t>
      </w:r>
    </w:p>
    <w:p w14:paraId="4429D39D" w14:textId="2AB7C90F" w:rsidR="00B02C23" w:rsidRPr="00485238" w:rsidRDefault="007D67E9">
      <w:pPr>
        <w:pStyle w:val="ListParagraph"/>
        <w:numPr>
          <w:ilvl w:val="0"/>
          <w:numId w:val="1"/>
        </w:numPr>
        <w:spacing w:after="0" w:line="240" w:lineRule="auto"/>
        <w:rPr>
          <w:b/>
          <w:iCs/>
          <w:lang w:eastAsia="zh-CN"/>
        </w:rPr>
      </w:pPr>
      <w:r w:rsidRPr="00485238">
        <w:rPr>
          <w:b/>
          <w:iCs/>
          <w:lang w:eastAsia="zh-CN"/>
        </w:rPr>
        <w:t>在这 900 万死亡人数中，因空气污染导致的死亡占到了近 75% 。死于有毒化学品污染（包括铅污染）</w:t>
      </w:r>
      <w:r w:rsidR="00EC5EEA" w:rsidRPr="00485238">
        <w:rPr>
          <w:rFonts w:hint="eastAsia"/>
          <w:b/>
          <w:iCs/>
          <w:lang w:eastAsia="zh-CN"/>
        </w:rPr>
        <w:t>的人</w:t>
      </w:r>
      <w:r w:rsidR="00EC5EEA" w:rsidRPr="00485238">
        <w:rPr>
          <w:b/>
          <w:iCs/>
          <w:lang w:eastAsia="zh-CN"/>
        </w:rPr>
        <w:t>超过</w:t>
      </w:r>
      <w:r w:rsidR="00EC5EEA" w:rsidRPr="00485238">
        <w:rPr>
          <w:rFonts w:hint="eastAsia"/>
          <w:b/>
          <w:iCs/>
          <w:lang w:eastAsia="zh-CN"/>
        </w:rPr>
        <w:t>了</w:t>
      </w:r>
      <w:r w:rsidR="00EC5EEA" w:rsidRPr="00485238">
        <w:rPr>
          <w:b/>
          <w:iCs/>
          <w:lang w:eastAsia="zh-CN"/>
        </w:rPr>
        <w:t xml:space="preserve"> 180 万</w:t>
      </w:r>
      <w:r w:rsidRPr="00485238">
        <w:rPr>
          <w:b/>
          <w:iCs/>
          <w:lang w:eastAsia="zh-CN"/>
        </w:rPr>
        <w:t>，</w:t>
      </w:r>
      <w:r w:rsidR="00EC5EEA" w:rsidRPr="00485238">
        <w:rPr>
          <w:rFonts w:hint="eastAsia"/>
          <w:b/>
          <w:iCs/>
          <w:lang w:eastAsia="zh-CN"/>
        </w:rPr>
        <w:t>这比</w:t>
      </w:r>
      <w:r w:rsidRPr="00485238">
        <w:rPr>
          <w:b/>
          <w:iCs/>
          <w:lang w:eastAsia="zh-CN"/>
        </w:rPr>
        <w:t xml:space="preserve"> 2000 年</w:t>
      </w:r>
      <w:r w:rsidR="00EC5EEA" w:rsidRPr="00485238">
        <w:rPr>
          <w:rFonts w:hint="eastAsia"/>
          <w:b/>
          <w:iCs/>
          <w:lang w:eastAsia="zh-CN"/>
        </w:rPr>
        <w:t>的数值</w:t>
      </w:r>
      <w:r w:rsidRPr="00485238">
        <w:rPr>
          <w:b/>
          <w:iCs/>
          <w:lang w:eastAsia="zh-CN"/>
        </w:rPr>
        <w:t>增加了 66%。</w:t>
      </w:r>
    </w:p>
    <w:p w14:paraId="6473F02C" w14:textId="253F6FFC" w:rsidR="00B02C23" w:rsidRPr="00485238" w:rsidRDefault="00FD4B59">
      <w:pPr>
        <w:pStyle w:val="ListParagraph"/>
        <w:numPr>
          <w:ilvl w:val="0"/>
          <w:numId w:val="1"/>
        </w:numPr>
        <w:spacing w:after="0" w:line="240" w:lineRule="auto"/>
        <w:rPr>
          <w:b/>
          <w:iCs/>
          <w:lang w:eastAsia="zh-CN"/>
        </w:rPr>
      </w:pPr>
      <w:r w:rsidRPr="00485238">
        <w:rPr>
          <w:rFonts w:hint="eastAsia"/>
          <w:b/>
          <w:iCs/>
          <w:lang w:eastAsia="zh-CN"/>
        </w:rPr>
        <w:t>全球</w:t>
      </w:r>
      <w:r w:rsidR="007D67E9" w:rsidRPr="00485238">
        <w:rPr>
          <w:b/>
          <w:iCs/>
          <w:lang w:eastAsia="zh-CN"/>
        </w:rPr>
        <w:t>应对这场公共卫生危机</w:t>
      </w:r>
      <w:r w:rsidRPr="00485238">
        <w:rPr>
          <w:rFonts w:hint="eastAsia"/>
          <w:b/>
          <w:iCs/>
          <w:lang w:eastAsia="zh-CN"/>
        </w:rPr>
        <w:t>的行动微乎其微</w:t>
      </w:r>
      <w:r w:rsidR="001A5697" w:rsidRPr="00485238">
        <w:rPr>
          <w:rFonts w:hint="eastAsia"/>
          <w:b/>
          <w:iCs/>
          <w:lang w:eastAsia="zh-CN"/>
        </w:rPr>
        <w:t>，仅有</w:t>
      </w:r>
      <w:r w:rsidR="00133E8A" w:rsidRPr="00485238">
        <w:rPr>
          <w:rFonts w:hint="eastAsia"/>
          <w:b/>
          <w:iCs/>
          <w:lang w:eastAsia="zh-CN"/>
        </w:rPr>
        <w:t>少数</w:t>
      </w:r>
      <w:r w:rsidR="001A5697" w:rsidRPr="00485238">
        <w:rPr>
          <w:rFonts w:hint="eastAsia"/>
          <w:b/>
          <w:iCs/>
          <w:lang w:eastAsia="zh-CN"/>
        </w:rPr>
        <w:t>值得注意的例外行动</w:t>
      </w:r>
      <w:r w:rsidR="007D67E9" w:rsidRPr="00485238">
        <w:rPr>
          <w:b/>
          <w:iCs/>
          <w:lang w:eastAsia="zh-CN"/>
        </w:rPr>
        <w:t>。作者呼吁立即采取措施来应对这个人类和</w:t>
      </w:r>
      <w:r w:rsidR="001367F4" w:rsidRPr="00485238">
        <w:rPr>
          <w:rFonts w:hint="eastAsia"/>
          <w:b/>
          <w:iCs/>
          <w:lang w:eastAsia="zh-CN"/>
        </w:rPr>
        <w:t>星球</w:t>
      </w:r>
      <w:r w:rsidR="007D67E9" w:rsidRPr="00485238">
        <w:rPr>
          <w:b/>
          <w:iCs/>
          <w:lang w:eastAsia="zh-CN"/>
        </w:rPr>
        <w:t>健康的生存威胁。</w:t>
      </w:r>
    </w:p>
    <w:p w14:paraId="0E184EA3" w14:textId="77777777" w:rsidR="00B02C23" w:rsidRDefault="00B02C23">
      <w:pPr>
        <w:spacing w:after="0" w:line="240" w:lineRule="auto"/>
        <w:rPr>
          <w:lang w:eastAsia="zh-CN"/>
        </w:rPr>
      </w:pPr>
    </w:p>
    <w:p w14:paraId="2C59D5AF" w14:textId="133538E7" w:rsidR="00B02C23" w:rsidRDefault="007D67E9">
      <w:pPr>
        <w:spacing w:after="0" w:line="240" w:lineRule="auto"/>
        <w:rPr>
          <w:lang w:eastAsia="zh-CN"/>
        </w:rPr>
      </w:pPr>
      <w:r>
        <w:rPr>
          <w:lang w:eastAsia="zh-CN"/>
        </w:rPr>
        <w:t>2019 年，污染导致 900 万人死亡，相当于全球死亡人数的六分之一。这个数字</w:t>
      </w:r>
      <w:r w:rsidR="005868DB">
        <w:rPr>
          <w:rFonts w:hint="eastAsia"/>
          <w:lang w:eastAsia="zh-CN"/>
        </w:rPr>
        <w:t>自2</w:t>
      </w:r>
      <w:r w:rsidR="005868DB">
        <w:rPr>
          <w:lang w:eastAsia="zh-CN"/>
        </w:rPr>
        <w:t>015</w:t>
      </w:r>
      <w:r w:rsidR="005868DB">
        <w:rPr>
          <w:rFonts w:hint="eastAsia"/>
          <w:lang w:eastAsia="zh-CN"/>
        </w:rPr>
        <w:t>年上版</w:t>
      </w:r>
      <w:r w:rsidR="0024783A">
        <w:rPr>
          <w:rFonts w:hint="eastAsia"/>
          <w:lang w:eastAsia="zh-CN"/>
        </w:rPr>
        <w:t>结果</w:t>
      </w:r>
      <w:r w:rsidR="005868DB">
        <w:rPr>
          <w:rFonts w:hint="eastAsia"/>
          <w:lang w:eastAsia="zh-CN"/>
        </w:rPr>
        <w:t>发布以来</w:t>
      </w:r>
      <w:r>
        <w:rPr>
          <w:lang w:eastAsia="zh-CN"/>
        </w:rPr>
        <w:t>几乎没有变化。</w:t>
      </w:r>
    </w:p>
    <w:p w14:paraId="525D5589" w14:textId="77777777" w:rsidR="00B02C23" w:rsidRDefault="00B02C23">
      <w:pPr>
        <w:spacing w:after="0" w:line="240" w:lineRule="auto"/>
        <w:rPr>
          <w:lang w:eastAsia="zh-CN"/>
        </w:rPr>
      </w:pPr>
    </w:p>
    <w:p w14:paraId="280E1786" w14:textId="2F29DF97" w:rsidR="00B02C23" w:rsidRDefault="007D67E9">
      <w:pPr>
        <w:spacing w:after="0" w:line="240" w:lineRule="auto"/>
        <w:rPr>
          <w:lang w:eastAsia="zh-CN"/>
        </w:rPr>
      </w:pPr>
      <w:r>
        <w:rPr>
          <w:lang w:eastAsia="zh-CN"/>
        </w:rPr>
        <w:t>这份</w:t>
      </w:r>
      <w:r w:rsidR="00485238">
        <w:rPr>
          <w:rFonts w:hint="eastAsia"/>
          <w:lang w:val="en-US" w:eastAsia="zh-CN"/>
        </w:rPr>
        <w:t>最新报告</w:t>
      </w:r>
      <w:r>
        <w:rPr>
          <w:lang w:eastAsia="zh-CN"/>
        </w:rPr>
        <w:t>发表在《柳叶刀-星球健康》</w:t>
      </w:r>
      <w:r w:rsidRPr="008D7F5F">
        <w:rPr>
          <w:i/>
          <w:iCs/>
          <w:lang w:eastAsia="zh-CN"/>
        </w:rPr>
        <w:t>（The Lancet Planetary Health）</w:t>
      </w:r>
      <w:r>
        <w:rPr>
          <w:lang w:eastAsia="zh-CN"/>
        </w:rPr>
        <w:t>上</w:t>
      </w:r>
      <w:r w:rsidR="00141AC2">
        <w:rPr>
          <w:rFonts w:hint="eastAsia"/>
          <w:lang w:eastAsia="zh-CN"/>
        </w:rPr>
        <w:t>，是对</w:t>
      </w:r>
      <w:r>
        <w:rPr>
          <w:lang w:eastAsia="zh-CN"/>
        </w:rPr>
        <w:t>柳叶刀污染与健康重大报告（</w:t>
      </w:r>
      <w:r w:rsidRPr="00485238">
        <w:rPr>
          <w:i/>
          <w:iCs/>
          <w:lang w:eastAsia="zh-CN"/>
        </w:rPr>
        <w:t xml:space="preserve">The </w:t>
      </w:r>
      <w:r w:rsidRPr="008D7F5F">
        <w:rPr>
          <w:i/>
          <w:iCs/>
          <w:lang w:eastAsia="zh-CN"/>
        </w:rPr>
        <w:t xml:space="preserve">Lancet </w:t>
      </w:r>
      <w:r>
        <w:rPr>
          <w:lang w:eastAsia="zh-CN"/>
        </w:rPr>
        <w:t>Commission on Pollution and Health）[1] 的更新。</w:t>
      </w:r>
      <w:r w:rsidR="00485238">
        <w:rPr>
          <w:rFonts w:hint="eastAsia"/>
          <w:lang w:eastAsia="zh-CN"/>
        </w:rPr>
        <w:t>新报告</w:t>
      </w:r>
      <w:r>
        <w:rPr>
          <w:lang w:eastAsia="zh-CN"/>
        </w:rPr>
        <w:t>指出，尽管与极端贫困相关的污染源（如室内空气污染和水污染）导致的死亡人数已经减少，但工业污染（如环境空气污染和化学污染）导致的死亡人数增加，抵消了</w:t>
      </w:r>
      <w:r w:rsidR="0064554E">
        <w:rPr>
          <w:rFonts w:hint="eastAsia"/>
          <w:lang w:eastAsia="zh-CN"/>
        </w:rPr>
        <w:t>上述</w:t>
      </w:r>
      <w:r>
        <w:rPr>
          <w:lang w:eastAsia="zh-CN"/>
        </w:rPr>
        <w:t>减少的死亡人数。</w:t>
      </w:r>
    </w:p>
    <w:p w14:paraId="53334A73" w14:textId="71BC0207" w:rsidR="00B02C23" w:rsidRDefault="00B02C23">
      <w:pPr>
        <w:spacing w:after="0" w:line="240" w:lineRule="auto"/>
        <w:rPr>
          <w:lang w:eastAsia="zh-CN"/>
        </w:rPr>
      </w:pPr>
    </w:p>
    <w:p w14:paraId="597F86AB" w14:textId="5FAAE486" w:rsidR="00B02C23" w:rsidRDefault="007D67E9">
      <w:pPr>
        <w:spacing w:after="0" w:line="240" w:lineRule="auto"/>
        <w:rPr>
          <w:lang w:eastAsia="zh-CN"/>
        </w:rPr>
      </w:pPr>
      <w:r>
        <w:rPr>
          <w:lang w:eastAsia="zh-CN"/>
        </w:rPr>
        <w:t>“污染对健康的影响仍然很大，低收入和中等收入国家首当其冲。尽管污染防治对健康、社会和经济都有重大影响，但在国际发展议程中，污染防治却被</w:t>
      </w:r>
      <w:r w:rsidR="00253AD7">
        <w:rPr>
          <w:rFonts w:hint="eastAsia"/>
          <w:lang w:eastAsia="zh-CN"/>
        </w:rPr>
        <w:t>大大</w:t>
      </w:r>
      <w:r>
        <w:rPr>
          <w:lang w:eastAsia="zh-CN"/>
        </w:rPr>
        <w:t>忽视了，”通讯作者 Richard Fuller 说道。“自 2015 年以来，尽管公众对污染及其健康影响的担忧明显增加，但关注度和投入的资金仅略有增加。” [2]</w:t>
      </w:r>
    </w:p>
    <w:p w14:paraId="39B69FF4" w14:textId="2E23325A" w:rsidR="00B02C23" w:rsidRDefault="00B02C23">
      <w:pPr>
        <w:spacing w:after="0" w:line="240" w:lineRule="auto"/>
        <w:rPr>
          <w:lang w:eastAsia="zh-CN"/>
        </w:rPr>
      </w:pPr>
    </w:p>
    <w:p w14:paraId="174F70F4" w14:textId="66714757" w:rsidR="00B02C23" w:rsidRDefault="007D67E9">
      <w:pPr>
        <w:spacing w:after="0" w:line="240" w:lineRule="auto"/>
        <w:rPr>
          <w:lang w:eastAsia="zh-CN"/>
        </w:rPr>
      </w:pPr>
      <w:r>
        <w:rPr>
          <w:lang w:eastAsia="zh-CN"/>
        </w:rPr>
        <w:t>“污染仍然是人类和</w:t>
      </w:r>
      <w:r w:rsidR="00253AD7">
        <w:rPr>
          <w:rFonts w:hint="eastAsia"/>
          <w:lang w:eastAsia="zh-CN"/>
        </w:rPr>
        <w:t>星球</w:t>
      </w:r>
      <w:r>
        <w:rPr>
          <w:lang w:eastAsia="zh-CN"/>
        </w:rPr>
        <w:t>健康的最大生存威胁，并危及现代社会的可持续性。污染</w:t>
      </w:r>
      <w:r w:rsidR="00253AD7">
        <w:rPr>
          <w:lang w:eastAsia="zh-CN"/>
        </w:rPr>
        <w:t>防治</w:t>
      </w:r>
      <w:r>
        <w:rPr>
          <w:lang w:eastAsia="zh-CN"/>
        </w:rPr>
        <w:t>还可以减缓气候变化，为</w:t>
      </w:r>
      <w:r w:rsidR="00253AD7">
        <w:rPr>
          <w:rFonts w:hint="eastAsia"/>
          <w:lang w:eastAsia="zh-CN"/>
        </w:rPr>
        <w:t>星球</w:t>
      </w:r>
      <w:r>
        <w:rPr>
          <w:lang w:eastAsia="zh-CN"/>
        </w:rPr>
        <w:t xml:space="preserve">健康带来双重好处。我们的报告呼吁大规模地、快速地从化石燃料向清洁、可再生能源过渡，” 共同作者、波士顿学院全球公共卫生计划和全球污染与健康观测站（Global Public Health Program and Global Pollution Observatory at Boston College）主任 Philip </w:t>
      </w:r>
      <w:proofErr w:type="spellStart"/>
      <w:r>
        <w:rPr>
          <w:lang w:eastAsia="zh-CN"/>
        </w:rPr>
        <w:t>Landrigan</w:t>
      </w:r>
      <w:proofErr w:type="spellEnd"/>
      <w:r>
        <w:rPr>
          <w:lang w:eastAsia="zh-CN"/>
        </w:rPr>
        <w:t xml:space="preserve"> 教授补充道。[2]</w:t>
      </w:r>
    </w:p>
    <w:p w14:paraId="13695775" w14:textId="0EC6DF4E" w:rsidR="00B02C23" w:rsidRDefault="00B02C23">
      <w:pPr>
        <w:spacing w:after="0" w:line="240" w:lineRule="auto"/>
        <w:rPr>
          <w:lang w:eastAsia="zh-CN"/>
        </w:rPr>
      </w:pPr>
    </w:p>
    <w:p w14:paraId="21C11FDB" w14:textId="73C63F8C" w:rsidR="00B02C23" w:rsidRDefault="007D67E9">
      <w:pPr>
        <w:spacing w:after="0" w:line="240" w:lineRule="auto"/>
        <w:rPr>
          <w:lang w:eastAsia="zh-CN"/>
        </w:rPr>
      </w:pPr>
      <w:r>
        <w:rPr>
          <w:lang w:eastAsia="zh-CN"/>
        </w:rPr>
        <w:t>2017 年的柳叶刀污染与健康重大报告借鉴了 2015 年全球疾病负担研究（Global Burden of Disease，GBD）的数据，发现污染造成了约 900 万人死亡，占全球死亡人数的 16%。基于最</w:t>
      </w:r>
      <w:r>
        <w:rPr>
          <w:lang w:eastAsia="zh-CN"/>
        </w:rPr>
        <w:lastRenderedPageBreak/>
        <w:t>新的 2019 年 GBD 数据和方法，新报告提供了污染对健康影响的最新估计，并对 2000 年以来的趋势进行了评估。</w:t>
      </w:r>
    </w:p>
    <w:p w14:paraId="587A95F3" w14:textId="71D77B4B" w:rsidR="00B02C23" w:rsidRDefault="00B02C23">
      <w:pPr>
        <w:spacing w:after="0" w:line="240" w:lineRule="auto"/>
        <w:rPr>
          <w:lang w:eastAsia="zh-CN"/>
        </w:rPr>
      </w:pPr>
    </w:p>
    <w:p w14:paraId="4C23FFF7" w14:textId="622214C1" w:rsidR="00B02C23" w:rsidRDefault="007D67E9">
      <w:pPr>
        <w:spacing w:after="0" w:line="240" w:lineRule="auto"/>
        <w:rPr>
          <w:lang w:eastAsia="zh-CN"/>
        </w:rPr>
      </w:pPr>
      <w:r>
        <w:rPr>
          <w:lang w:eastAsia="zh-CN"/>
        </w:rPr>
        <w:t>在 2019 年因污染导致的 900 万死亡人数中，因空气污染（包括室内和环境）导致的死亡人数仍然最多，全球总计为667万人。水污染导致 136 万人过早死亡。铅污染导致 90 万人过早死亡，其次是有毒的职业性有害因素，导致 87 万人死亡。</w:t>
      </w:r>
    </w:p>
    <w:p w14:paraId="665E2105" w14:textId="4425A711" w:rsidR="00B02C23" w:rsidRDefault="00B02C23">
      <w:pPr>
        <w:spacing w:after="0" w:line="240" w:lineRule="auto"/>
        <w:rPr>
          <w:lang w:eastAsia="zh-CN"/>
        </w:rPr>
      </w:pPr>
    </w:p>
    <w:p w14:paraId="6D955907" w14:textId="6C913666" w:rsidR="00B02C23" w:rsidRDefault="007D67E9">
      <w:pPr>
        <w:spacing w:after="0" w:line="240" w:lineRule="auto"/>
        <w:rPr>
          <w:lang w:eastAsia="zh-CN"/>
        </w:rPr>
      </w:pPr>
      <w:r>
        <w:rPr>
          <w:lang w:eastAsia="zh-CN"/>
        </w:rPr>
        <w:t>自 2000 年以来，传统污染（固体燃料造成的室内空气污染和不安全的水）造成的死亡人数下降在非洲最为明显。这和供水及卫生条件的改善、抗生素的使用和治疗方法的进步、以及清洁燃料的使用有关。</w:t>
      </w:r>
    </w:p>
    <w:p w14:paraId="19E0D26E" w14:textId="60F584AD" w:rsidR="00B02C23" w:rsidRDefault="00B02C23">
      <w:pPr>
        <w:spacing w:after="0" w:line="240" w:lineRule="auto"/>
        <w:rPr>
          <w:lang w:eastAsia="zh-CN"/>
        </w:rPr>
      </w:pPr>
    </w:p>
    <w:p w14:paraId="79E73175" w14:textId="4817CA62" w:rsidR="00B02C23" w:rsidRDefault="007D67E9">
      <w:pPr>
        <w:spacing w:after="0" w:line="240" w:lineRule="auto"/>
        <w:rPr>
          <w:lang w:eastAsia="zh-CN"/>
        </w:rPr>
      </w:pPr>
      <w:r>
        <w:rPr>
          <w:lang w:eastAsia="zh-CN"/>
        </w:rPr>
        <w:t>然而，在过去 20 年中，全球因暴露于工业污染（如环境空气污染、铅污染和其他形式的化学污染）而死亡的人数大幅增加，抵消了这一下降的死亡人数。这在东南亚尤为明显。东南亚的工业污染水平不断上升，同时还伴随着人口老龄化和暴露人数的增加。</w:t>
      </w:r>
    </w:p>
    <w:p w14:paraId="73D99EA3" w14:textId="77777777" w:rsidR="00B02C23" w:rsidRDefault="00B02C23">
      <w:pPr>
        <w:spacing w:after="0" w:line="240" w:lineRule="auto"/>
        <w:rPr>
          <w:lang w:eastAsia="zh-CN"/>
        </w:rPr>
      </w:pPr>
    </w:p>
    <w:p w14:paraId="45EFBBF6" w14:textId="5A4FFB00" w:rsidR="00B02C23" w:rsidRDefault="007D67E9">
      <w:pPr>
        <w:spacing w:after="0" w:line="240" w:lineRule="auto"/>
        <w:rPr>
          <w:lang w:eastAsia="zh-CN"/>
        </w:rPr>
      </w:pPr>
      <w:r>
        <w:rPr>
          <w:lang w:eastAsia="zh-CN"/>
        </w:rPr>
        <w:t>2019 年，</w:t>
      </w:r>
      <w:r w:rsidR="00481E7B">
        <w:rPr>
          <w:rFonts w:hint="eastAsia"/>
          <w:lang w:eastAsia="zh-CN"/>
        </w:rPr>
        <w:t>室外</w:t>
      </w:r>
      <w:r>
        <w:rPr>
          <w:lang w:eastAsia="zh-CN"/>
        </w:rPr>
        <w:t>空气污染导致 450 万人死亡，高于 2015 年的 420 万人和 2000 年的 290 万人。危险化学污染物造成的死亡人数从 2000 年的 90 万人增加到 2015 年的 170 万人，再到 2019 年的 180 万人，</w:t>
      </w:r>
      <w:r w:rsidR="00481E7B">
        <w:rPr>
          <w:rFonts w:hint="eastAsia"/>
          <w:lang w:eastAsia="zh-CN"/>
        </w:rPr>
        <w:t>其中</w:t>
      </w:r>
      <w:r>
        <w:rPr>
          <w:lang w:eastAsia="zh-CN"/>
        </w:rPr>
        <w:t>2019 年有 90 万人死于铅污染。总体而言，在过去二十年中，现代污染造成的死亡人数增加了 66%，从 2000 年估计的 380 万人增加到 2019 年的 630 万人。化学污染物造成的死亡人数可能被低估了，因为只有少量商业生产的化学品经过了充分的安全性或毒性测试。</w:t>
      </w:r>
    </w:p>
    <w:p w14:paraId="4C6C416F" w14:textId="6E2DBC0F" w:rsidR="00B02C23" w:rsidRDefault="00B02C23">
      <w:pPr>
        <w:spacing w:after="0" w:line="240" w:lineRule="auto"/>
        <w:rPr>
          <w:lang w:eastAsia="zh-CN"/>
        </w:rPr>
      </w:pPr>
    </w:p>
    <w:p w14:paraId="6B94837B" w14:textId="11B5CB72" w:rsidR="00B02C23" w:rsidRDefault="007D67E9">
      <w:pPr>
        <w:spacing w:after="0" w:line="240" w:lineRule="auto"/>
        <w:rPr>
          <w:lang w:eastAsia="zh-CN"/>
        </w:rPr>
      </w:pPr>
      <w:r>
        <w:rPr>
          <w:lang w:eastAsia="zh-CN"/>
        </w:rPr>
        <w:t>2019 年，污染导致的超额死亡总共造成了 4∙6 万亿美元的经济损失，相当于全球经济产出的 6∙2%。该研究还指出了污染</w:t>
      </w:r>
      <w:r w:rsidR="00481E7B">
        <w:rPr>
          <w:rFonts w:hint="eastAsia"/>
          <w:lang w:eastAsia="zh-CN"/>
        </w:rPr>
        <w:t>带来的</w:t>
      </w:r>
      <w:r>
        <w:rPr>
          <w:lang w:eastAsia="zh-CN"/>
        </w:rPr>
        <w:t>严重不平等</w:t>
      </w:r>
      <w:r w:rsidR="00481E7B">
        <w:rPr>
          <w:rFonts w:hint="eastAsia"/>
          <w:lang w:eastAsia="zh-CN"/>
        </w:rPr>
        <w:t>问题</w:t>
      </w:r>
      <w:r>
        <w:rPr>
          <w:lang w:eastAsia="zh-CN"/>
        </w:rPr>
        <w:t>。92% 与污染相关的死亡以及由污染造成的最大经济损失负担，都发生在低收入和中等收入国家。</w:t>
      </w:r>
    </w:p>
    <w:p w14:paraId="0C4E8454" w14:textId="3B3734B3" w:rsidR="00B02C23" w:rsidRDefault="00B02C23">
      <w:pPr>
        <w:spacing w:after="0" w:line="240" w:lineRule="auto"/>
        <w:rPr>
          <w:lang w:eastAsia="zh-CN"/>
        </w:rPr>
      </w:pPr>
    </w:p>
    <w:p w14:paraId="4FED9AFB" w14:textId="72B6B9BB" w:rsidR="00B02C23" w:rsidRDefault="007D67E9">
      <w:pPr>
        <w:spacing w:after="0" w:line="240" w:lineRule="auto"/>
        <w:rPr>
          <w:lang w:eastAsia="zh-CN"/>
        </w:rPr>
      </w:pPr>
      <w:r>
        <w:rPr>
          <w:lang w:eastAsia="zh-CN"/>
        </w:rPr>
        <w:t>在柳叶刀</w:t>
      </w:r>
      <w:r w:rsidR="002A5150">
        <w:rPr>
          <w:rFonts w:hint="eastAsia"/>
          <w:lang w:eastAsia="zh-CN"/>
        </w:rPr>
        <w:t>“</w:t>
      </w:r>
      <w:r>
        <w:rPr>
          <w:lang w:eastAsia="zh-CN"/>
        </w:rPr>
        <w:t>污染与健康重大报告</w:t>
      </w:r>
      <w:r w:rsidR="002A5150">
        <w:rPr>
          <w:rFonts w:hint="eastAsia"/>
          <w:lang w:eastAsia="zh-CN"/>
        </w:rPr>
        <w:t>“</w:t>
      </w:r>
      <w:r>
        <w:rPr>
          <w:lang w:eastAsia="zh-CN"/>
        </w:rPr>
        <w:t>给出的建议的基础上，这项新研究的作者总结出了八项建议。其中包括呼吁成立一个独立的、类似于政府间气候变化专门委员会 (</w:t>
      </w:r>
      <w:r w:rsidR="00481E7B">
        <w:rPr>
          <w:lang w:eastAsia="zh-CN"/>
        </w:rPr>
        <w:t>IPCC</w:t>
      </w:r>
      <w:r>
        <w:rPr>
          <w:lang w:eastAsia="zh-CN"/>
        </w:rPr>
        <w:t>) 的科学/政策委员会，增加来自政府、独立捐助者和慈善机构的污染防控资金，并改进污染监测和数据收集。国际组织还需要批准并</w:t>
      </w:r>
      <w:r w:rsidR="00607829">
        <w:rPr>
          <w:rFonts w:hint="eastAsia"/>
          <w:lang w:eastAsia="zh-CN"/>
        </w:rPr>
        <w:t>建立</w:t>
      </w:r>
      <w:r>
        <w:rPr>
          <w:lang w:eastAsia="zh-CN"/>
        </w:rPr>
        <w:t>在污染相关的科学和政策之间</w:t>
      </w:r>
      <w:r w:rsidR="00607829">
        <w:rPr>
          <w:rFonts w:hint="eastAsia"/>
          <w:lang w:eastAsia="zh-CN"/>
        </w:rPr>
        <w:t>的</w:t>
      </w:r>
      <w:r>
        <w:rPr>
          <w:lang w:eastAsia="zh-CN"/>
        </w:rPr>
        <w:t>更好的联系，就像气候和生物多样性的科学和政策，以及最初针对化学品、废料和空气污染的科学和政策。</w:t>
      </w:r>
    </w:p>
    <w:p w14:paraId="73870061" w14:textId="652DC812" w:rsidR="00B02C23" w:rsidRDefault="00B02C23">
      <w:pPr>
        <w:spacing w:after="0" w:line="240" w:lineRule="auto"/>
        <w:rPr>
          <w:lang w:eastAsia="zh-CN"/>
        </w:rPr>
      </w:pPr>
    </w:p>
    <w:p w14:paraId="07B75106" w14:textId="7BC07A83" w:rsidR="00B02C23" w:rsidRDefault="007D67E9" w:rsidP="00EE2320">
      <w:pPr>
        <w:spacing w:after="0" w:line="240" w:lineRule="auto"/>
        <w:rPr>
          <w:color w:val="000000" w:themeColor="text1"/>
          <w:lang w:eastAsia="zh-CN"/>
        </w:rPr>
      </w:pPr>
      <w:r>
        <w:rPr>
          <w:lang w:eastAsia="zh-CN"/>
        </w:rPr>
        <w:t>“污染、气候变化和生物多样性丧失密切相关。要成功应对这些</w:t>
      </w:r>
      <w:r w:rsidR="00607829">
        <w:rPr>
          <w:rFonts w:hint="eastAsia"/>
          <w:lang w:eastAsia="zh-CN"/>
        </w:rPr>
        <w:t>复合</w:t>
      </w:r>
      <w:r>
        <w:rPr>
          <w:lang w:eastAsia="zh-CN"/>
        </w:rPr>
        <w:t>威胁，需要一个全球支持的、正式的科学-政策平台，为干预</w:t>
      </w:r>
      <w:r w:rsidR="00607829">
        <w:rPr>
          <w:rFonts w:hint="eastAsia"/>
          <w:lang w:eastAsia="zh-CN"/>
        </w:rPr>
        <w:t>政策的制定</w:t>
      </w:r>
      <w:r>
        <w:rPr>
          <w:lang w:eastAsia="zh-CN"/>
        </w:rPr>
        <w:t>提供信息、影响</w:t>
      </w:r>
      <w:r w:rsidR="00607829">
        <w:rPr>
          <w:rFonts w:hint="eastAsia"/>
          <w:lang w:eastAsia="zh-CN"/>
        </w:rPr>
        <w:t>未来</w:t>
      </w:r>
      <w:r>
        <w:rPr>
          <w:lang w:eastAsia="zh-CN"/>
        </w:rPr>
        <w:t>研究</w:t>
      </w:r>
      <w:r w:rsidR="00607829">
        <w:rPr>
          <w:rFonts w:hint="eastAsia"/>
          <w:lang w:eastAsia="zh-CN"/>
        </w:rPr>
        <w:t>选题、</w:t>
      </w:r>
      <w:r>
        <w:rPr>
          <w:lang w:eastAsia="zh-CN"/>
        </w:rPr>
        <w:t>并指导资金筹集工作。污染通常被视为一个需要通过</w:t>
      </w:r>
      <w:r w:rsidR="00FF71D4">
        <w:rPr>
          <w:rFonts w:hint="eastAsia"/>
          <w:lang w:eastAsia="zh-CN"/>
        </w:rPr>
        <w:t>地方级</w:t>
      </w:r>
      <w:r>
        <w:rPr>
          <w:lang w:eastAsia="zh-CN"/>
        </w:rPr>
        <w:t>和国家级的监管或偶尔在高收入地区通过区域政策加以解决</w:t>
      </w:r>
      <w:r w:rsidR="00FF71D4">
        <w:rPr>
          <w:rFonts w:hint="eastAsia"/>
          <w:lang w:eastAsia="zh-CN"/>
        </w:rPr>
        <w:t>的</w:t>
      </w:r>
      <w:r w:rsidR="00FF71D4">
        <w:rPr>
          <w:lang w:eastAsia="zh-CN"/>
        </w:rPr>
        <w:t>地方性问题</w:t>
      </w:r>
      <w:r>
        <w:rPr>
          <w:lang w:eastAsia="zh-CN"/>
        </w:rPr>
        <w:t xml:space="preserve">。然而，很明显，污染是对整个地球的威胁，其驱动因素、分布和健康影响超越了地方界限，需要全球应对。需要对所有主要的现代污染物采取全球行动，”共同作者、全球健康与污染联盟（Global Alliance on Health and Pollution）执行理事 Rachael </w:t>
      </w:r>
      <w:proofErr w:type="spellStart"/>
      <w:r>
        <w:rPr>
          <w:lang w:eastAsia="zh-CN"/>
        </w:rPr>
        <w:t>Kupka</w:t>
      </w:r>
      <w:proofErr w:type="spellEnd"/>
      <w:r>
        <w:rPr>
          <w:lang w:eastAsia="zh-CN"/>
        </w:rPr>
        <w:t xml:space="preserve"> 说。 [2]</w:t>
      </w:r>
      <w:bookmarkEnd w:id="0"/>
    </w:p>
    <w:p w14:paraId="2228EB8D" w14:textId="49ED1874" w:rsidR="00EE2320" w:rsidRDefault="00EE2320" w:rsidP="00EE2320">
      <w:pPr>
        <w:spacing w:after="0" w:line="240" w:lineRule="auto"/>
        <w:rPr>
          <w:color w:val="000000" w:themeColor="text1"/>
          <w:lang w:eastAsia="zh-CN"/>
        </w:rPr>
      </w:pPr>
    </w:p>
    <w:p w14:paraId="44063157" w14:textId="77777777" w:rsidR="00EE2320" w:rsidRPr="00EE2320" w:rsidRDefault="00EE2320" w:rsidP="00EE2320">
      <w:pPr>
        <w:spacing w:after="0" w:line="240" w:lineRule="auto"/>
        <w:rPr>
          <w:color w:val="000000" w:themeColor="text1"/>
          <w:highlight w:val="yellow"/>
          <w:lang w:eastAsia="zh-CN"/>
        </w:rPr>
      </w:pPr>
      <w:r w:rsidRPr="00EE2320">
        <w:rPr>
          <w:color w:val="000000" w:themeColor="text1"/>
          <w:highlight w:val="yellow"/>
          <w:lang w:eastAsia="zh-CN"/>
        </w:rPr>
        <w:t>NOTES TO EDITORS</w:t>
      </w:r>
    </w:p>
    <w:p w14:paraId="3C9FB64A" w14:textId="77777777" w:rsidR="00EE2320" w:rsidRPr="00EE2320" w:rsidRDefault="00EE2320" w:rsidP="00EE2320">
      <w:pPr>
        <w:spacing w:after="0" w:line="240" w:lineRule="auto"/>
        <w:rPr>
          <w:color w:val="000000" w:themeColor="text1"/>
          <w:highlight w:val="yellow"/>
          <w:lang w:eastAsia="zh-CN"/>
        </w:rPr>
      </w:pPr>
      <w:r w:rsidRPr="00EE2320">
        <w:rPr>
          <w:color w:val="000000" w:themeColor="text1"/>
          <w:highlight w:val="yellow"/>
          <w:lang w:eastAsia="zh-CN"/>
        </w:rPr>
        <w:lastRenderedPageBreak/>
        <w:t xml:space="preserve">This study was funded by the Swiss Agency for Development and Cooperation (SDC) and the Ministry of Environment of Sweden with support from the Global Alliance on Health and Pollution (GAHP) and Pure Earth. </w:t>
      </w:r>
    </w:p>
    <w:p w14:paraId="56210CFF" w14:textId="77777777" w:rsidR="00EE2320" w:rsidRPr="00EE2320" w:rsidRDefault="00EE2320" w:rsidP="00EE2320">
      <w:pPr>
        <w:spacing w:after="0" w:line="240" w:lineRule="auto"/>
        <w:rPr>
          <w:color w:val="000000" w:themeColor="text1"/>
          <w:highlight w:val="yellow"/>
          <w:lang w:eastAsia="zh-CN"/>
        </w:rPr>
      </w:pPr>
    </w:p>
    <w:p w14:paraId="4CFC83DA" w14:textId="77777777" w:rsidR="00EE2320" w:rsidRPr="00EE2320" w:rsidRDefault="00EE2320" w:rsidP="00EE2320">
      <w:pPr>
        <w:spacing w:after="0" w:line="240" w:lineRule="auto"/>
        <w:rPr>
          <w:color w:val="000000" w:themeColor="text1"/>
          <w:highlight w:val="yellow"/>
          <w:lang w:eastAsia="zh-CN"/>
        </w:rPr>
      </w:pPr>
      <w:r w:rsidRPr="00EE2320">
        <w:rPr>
          <w:color w:val="000000" w:themeColor="text1"/>
          <w:highlight w:val="yellow"/>
          <w:lang w:eastAsia="zh-CN"/>
        </w:rPr>
        <w:t xml:space="preserve">It was conducted by researchers from the Global Alliance on Health and Pollution, Pure Earth, Schiller Institute for Integrated Science and Society at Boston College, Department of Environmental Health Engineering at Sri Ramachandra University, Clean Air Asia, Social and Environmental Medicine at University Hospital Munich, School of Population and Public Health at The University of British Columbia, School of Global Public Health at New York University, Health Effects Institute, Department of Economics at University of Maryland, Keck School of Medicine at University of Southern California, Nuffield Department of Population Health at University of Oxford, Togo Run, Simon Fraser University, University of Pittsburgh, Consortium of Universities for Global Health, Nigerian Institute of Medical Research, The World Bank, Indiana University, World Resources Institute, NIEHS Division of Extramural Research and Training, Instituto Nacional de </w:t>
      </w:r>
      <w:proofErr w:type="spellStart"/>
      <w:r w:rsidRPr="00EE2320">
        <w:rPr>
          <w:color w:val="000000" w:themeColor="text1"/>
          <w:highlight w:val="yellow"/>
          <w:lang w:eastAsia="zh-CN"/>
        </w:rPr>
        <w:t>Salud</w:t>
      </w:r>
      <w:proofErr w:type="spellEnd"/>
      <w:r w:rsidRPr="00EE2320">
        <w:rPr>
          <w:color w:val="000000" w:themeColor="text1"/>
          <w:highlight w:val="yellow"/>
          <w:lang w:eastAsia="zh-CN"/>
        </w:rPr>
        <w:t xml:space="preserve"> </w:t>
      </w:r>
      <w:proofErr w:type="spellStart"/>
      <w:r w:rsidRPr="00EE2320">
        <w:rPr>
          <w:color w:val="000000" w:themeColor="text1"/>
          <w:highlight w:val="yellow"/>
          <w:lang w:eastAsia="zh-CN"/>
        </w:rPr>
        <w:t>Pública</w:t>
      </w:r>
      <w:proofErr w:type="spellEnd"/>
      <w:r w:rsidRPr="00EE2320">
        <w:rPr>
          <w:color w:val="000000" w:themeColor="text1"/>
          <w:highlight w:val="yellow"/>
          <w:lang w:eastAsia="zh-CN"/>
        </w:rPr>
        <w:t xml:space="preserve"> - Mexico, Shanghai Jiao Tong University.</w:t>
      </w:r>
    </w:p>
    <w:p w14:paraId="0E5B2DA5" w14:textId="77777777" w:rsidR="00EE2320" w:rsidRPr="00EE2320" w:rsidRDefault="00EE2320" w:rsidP="00EE2320">
      <w:pPr>
        <w:spacing w:after="0" w:line="240" w:lineRule="auto"/>
        <w:rPr>
          <w:color w:val="000000" w:themeColor="text1"/>
          <w:highlight w:val="yellow"/>
          <w:lang w:eastAsia="zh-CN"/>
        </w:rPr>
      </w:pPr>
    </w:p>
    <w:p w14:paraId="5AF2D88C" w14:textId="77777777" w:rsidR="00EE2320" w:rsidRPr="00EE2320" w:rsidRDefault="00EE2320" w:rsidP="00EE2320">
      <w:pPr>
        <w:spacing w:after="0" w:line="240" w:lineRule="auto"/>
        <w:rPr>
          <w:color w:val="000000" w:themeColor="text1"/>
          <w:highlight w:val="yellow"/>
          <w:lang w:eastAsia="zh-CN"/>
        </w:rPr>
      </w:pPr>
      <w:r w:rsidRPr="00EE2320">
        <w:rPr>
          <w:color w:val="000000" w:themeColor="text1"/>
          <w:highlight w:val="yellow"/>
          <w:lang w:eastAsia="zh-CN"/>
        </w:rPr>
        <w:t xml:space="preserve">[1] The Lancet Commission on Pollution and Health: https://www.thelancet.com/commissions/pollution-and-health </w:t>
      </w:r>
    </w:p>
    <w:p w14:paraId="27CFEEA9" w14:textId="316A693F" w:rsidR="00EE2320" w:rsidRPr="00EE2320" w:rsidRDefault="00EE2320" w:rsidP="00EE2320">
      <w:pPr>
        <w:spacing w:after="0" w:line="240" w:lineRule="auto"/>
        <w:rPr>
          <w:color w:val="000000" w:themeColor="text1"/>
          <w:lang w:eastAsia="zh-CN"/>
        </w:rPr>
      </w:pPr>
      <w:r w:rsidRPr="00EE2320">
        <w:rPr>
          <w:color w:val="000000" w:themeColor="text1"/>
          <w:highlight w:val="yellow"/>
          <w:lang w:eastAsia="zh-CN"/>
        </w:rPr>
        <w:t>[2] Quote direct from author and cannot be found in the text of the Article.</w:t>
      </w:r>
    </w:p>
    <w:sectPr w:rsidR="00EE2320" w:rsidRPr="00EE232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474CD" w14:textId="77777777" w:rsidR="00C3211E" w:rsidRDefault="00C3211E">
      <w:pPr>
        <w:spacing w:after="0" w:line="240" w:lineRule="auto"/>
      </w:pPr>
      <w:r>
        <w:separator/>
      </w:r>
    </w:p>
  </w:endnote>
  <w:endnote w:type="continuationSeparator" w:id="0">
    <w:p w14:paraId="3DC7AE6F" w14:textId="77777777" w:rsidR="00C3211E" w:rsidRDefault="00C32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B35D" w14:textId="757914BC" w:rsidR="008D7F5F" w:rsidRDefault="008D7F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2CA2E" w14:textId="77777777" w:rsidR="0062599F" w:rsidRDefault="006259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7D75E" w14:textId="088B7234" w:rsidR="008D7F5F" w:rsidRDefault="008D7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D7A70" w14:textId="77777777" w:rsidR="00C3211E" w:rsidRDefault="00C3211E">
      <w:pPr>
        <w:spacing w:after="0" w:line="240" w:lineRule="auto"/>
      </w:pPr>
      <w:r>
        <w:separator/>
      </w:r>
    </w:p>
  </w:footnote>
  <w:footnote w:type="continuationSeparator" w:id="0">
    <w:p w14:paraId="42EC0179" w14:textId="77777777" w:rsidR="00C3211E" w:rsidRDefault="00C32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09CAE" w14:textId="77777777" w:rsidR="0062599F" w:rsidRDefault="006259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C748" w14:textId="77777777" w:rsidR="001B0C25" w:rsidRDefault="001B0C25" w:rsidP="001B0C25">
    <w:pPr>
      <w:pBdr>
        <w:top w:val="nil"/>
        <w:left w:val="nil"/>
        <w:bottom w:val="nil"/>
        <w:right w:val="nil"/>
        <w:between w:val="nil"/>
      </w:pBdr>
      <w:tabs>
        <w:tab w:val="center" w:pos="4320"/>
        <w:tab w:val="right" w:pos="8640"/>
        <w:tab w:val="left" w:pos="1792"/>
      </w:tabs>
      <w:rPr>
        <w:color w:val="000000"/>
      </w:rPr>
    </w:pPr>
    <w:r>
      <w:rPr>
        <w:noProof/>
      </w:rPr>
      <w:drawing>
        <wp:anchor distT="0" distB="0" distL="114300" distR="114300" simplePos="0" relativeHeight="251659264" behindDoc="0" locked="0" layoutInCell="1" hidden="0" allowOverlap="1" wp14:anchorId="59A1E34F" wp14:editId="329A3B65">
          <wp:simplePos x="0" y="0"/>
          <wp:positionH relativeFrom="column">
            <wp:posOffset>44428</wp:posOffset>
          </wp:positionH>
          <wp:positionV relativeFrom="paragraph">
            <wp:posOffset>-64770</wp:posOffset>
          </wp:positionV>
          <wp:extent cx="1597660" cy="748665"/>
          <wp:effectExtent l="0" t="0" r="0" b="0"/>
          <wp:wrapSquare wrapText="bothSides" distT="0" distB="0" distL="114300" distR="114300"/>
          <wp:docPr id="7" name="image1.jpg" descr=":GAHP logos:GAHP-logo-minusTagline.jpg"/>
          <wp:cNvGraphicFramePr/>
          <a:graphic xmlns:a="http://schemas.openxmlformats.org/drawingml/2006/main">
            <a:graphicData uri="http://schemas.openxmlformats.org/drawingml/2006/picture">
              <pic:pic xmlns:pic="http://schemas.openxmlformats.org/drawingml/2006/picture">
                <pic:nvPicPr>
                  <pic:cNvPr id="0" name="image1.jpg" descr=":GAHP logos:GAHP-logo-minusTagline.jpg"/>
                  <pic:cNvPicPr preferRelativeResize="0"/>
                </pic:nvPicPr>
                <pic:blipFill>
                  <a:blip r:embed="rId1"/>
                  <a:srcRect/>
                  <a:stretch>
                    <a:fillRect/>
                  </a:stretch>
                </pic:blipFill>
                <pic:spPr>
                  <a:xfrm>
                    <a:off x="0" y="0"/>
                    <a:ext cx="1597660" cy="748665"/>
                  </a:xfrm>
                  <a:prstGeom prst="rect">
                    <a:avLst/>
                  </a:prstGeom>
                  <a:ln/>
                </pic:spPr>
              </pic:pic>
            </a:graphicData>
          </a:graphic>
        </wp:anchor>
      </w:drawing>
    </w:r>
    <w:r>
      <w:rPr>
        <w:color w:val="000000"/>
      </w:rPr>
      <w:tab/>
    </w:r>
    <w:r>
      <w:rPr>
        <w:color w:val="000000"/>
      </w:rPr>
      <w:tab/>
    </w:r>
  </w:p>
  <w:p w14:paraId="0C261091" w14:textId="77777777" w:rsidR="001B0C25" w:rsidRDefault="001B0C25" w:rsidP="001B0C25">
    <w:pPr>
      <w:pBdr>
        <w:top w:val="nil"/>
        <w:left w:val="nil"/>
        <w:bottom w:val="nil"/>
        <w:right w:val="nil"/>
        <w:between w:val="nil"/>
      </w:pBdr>
      <w:tabs>
        <w:tab w:val="center" w:pos="4320"/>
        <w:tab w:val="right" w:pos="8640"/>
      </w:tabs>
      <w:rPr>
        <w:color w:val="000000"/>
      </w:rPr>
    </w:pPr>
  </w:p>
  <w:p w14:paraId="2B564472" w14:textId="77777777" w:rsidR="001B0C25" w:rsidRDefault="001B0C25" w:rsidP="001B0C25">
    <w:pPr>
      <w:pBdr>
        <w:top w:val="nil"/>
        <w:left w:val="nil"/>
        <w:bottom w:val="nil"/>
        <w:right w:val="nil"/>
        <w:between w:val="nil"/>
      </w:pBdr>
      <w:tabs>
        <w:tab w:val="center" w:pos="4320"/>
        <w:tab w:val="right" w:pos="8640"/>
      </w:tabs>
      <w:rPr>
        <w:color w:val="CD6B15"/>
      </w:rPr>
    </w:pPr>
    <w:r>
      <w:rPr>
        <w:color w:val="CD6B15"/>
      </w:rPr>
      <w:t xml:space="preserve">                                                 </w:t>
    </w:r>
  </w:p>
  <w:p w14:paraId="278CA4FA" w14:textId="3AD0D707" w:rsidR="001B0C25" w:rsidRDefault="001B0C25" w:rsidP="001B0C25">
    <w:pPr>
      <w:pBdr>
        <w:top w:val="nil"/>
        <w:left w:val="nil"/>
        <w:bottom w:val="nil"/>
        <w:right w:val="nil"/>
        <w:between w:val="nil"/>
      </w:pBdr>
      <w:tabs>
        <w:tab w:val="center" w:pos="4320"/>
        <w:tab w:val="right" w:pos="8640"/>
      </w:tabs>
      <w:jc w:val="center"/>
      <w:rPr>
        <w:rFonts w:ascii="Arial" w:eastAsia="Arial" w:hAnsi="Arial" w:cs="Arial"/>
        <w:color w:val="CD6B15"/>
      </w:rPr>
    </w:pPr>
    <w:r>
      <w:rPr>
        <w:rFonts w:ascii="Arial" w:eastAsia="Arial" w:hAnsi="Arial" w:cs="Arial"/>
        <w:color w:val="CD6B15"/>
      </w:rPr>
      <w:tab/>
    </w:r>
    <w:r>
      <w:rPr>
        <w:rFonts w:ascii="Arial" w:eastAsia="Arial" w:hAnsi="Arial" w:cs="Arial"/>
        <w:color w:val="CD6B15"/>
      </w:rPr>
      <w:tab/>
      <w:t xml:space="preserve">Partnering for solutions to pollution problems </w:t>
    </w:r>
  </w:p>
  <w:p w14:paraId="2C9B9372" w14:textId="77777777" w:rsidR="0062599F" w:rsidRPr="001B0C25" w:rsidRDefault="0062599F" w:rsidP="001B0C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37D0" w14:textId="77777777" w:rsidR="0062599F" w:rsidRDefault="00625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B1367"/>
    <w:multiLevelType w:val="hybridMultilevel"/>
    <w:tmpl w:val="E9D41BA0"/>
    <w:lvl w:ilvl="0" w:tplc="E542DB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5019E4"/>
    <w:multiLevelType w:val="hybridMultilevel"/>
    <w:tmpl w:val="70DE7CE8"/>
    <w:lvl w:ilvl="0" w:tplc="5AB087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FD3"/>
    <w:rsid w:val="0005434C"/>
    <w:rsid w:val="00075788"/>
    <w:rsid w:val="000A1D57"/>
    <w:rsid w:val="000C23B2"/>
    <w:rsid w:val="00121186"/>
    <w:rsid w:val="00122F0E"/>
    <w:rsid w:val="00133E8A"/>
    <w:rsid w:val="001367F4"/>
    <w:rsid w:val="00141AC2"/>
    <w:rsid w:val="00151219"/>
    <w:rsid w:val="001563BC"/>
    <w:rsid w:val="001631A6"/>
    <w:rsid w:val="00164BBD"/>
    <w:rsid w:val="001A5697"/>
    <w:rsid w:val="001B0C25"/>
    <w:rsid w:val="001B49CF"/>
    <w:rsid w:val="001C087D"/>
    <w:rsid w:val="001C2D94"/>
    <w:rsid w:val="00224F89"/>
    <w:rsid w:val="00233A85"/>
    <w:rsid w:val="0024783A"/>
    <w:rsid w:val="00253665"/>
    <w:rsid w:val="00253AD7"/>
    <w:rsid w:val="00256097"/>
    <w:rsid w:val="00281FC2"/>
    <w:rsid w:val="00290944"/>
    <w:rsid w:val="002A5150"/>
    <w:rsid w:val="002B4235"/>
    <w:rsid w:val="00316272"/>
    <w:rsid w:val="003544F0"/>
    <w:rsid w:val="003B510F"/>
    <w:rsid w:val="004271E8"/>
    <w:rsid w:val="00465B96"/>
    <w:rsid w:val="00481E7B"/>
    <w:rsid w:val="00485238"/>
    <w:rsid w:val="00494BA8"/>
    <w:rsid w:val="004B0326"/>
    <w:rsid w:val="004E46FC"/>
    <w:rsid w:val="00516A85"/>
    <w:rsid w:val="0052253E"/>
    <w:rsid w:val="00540427"/>
    <w:rsid w:val="00545D04"/>
    <w:rsid w:val="0055296C"/>
    <w:rsid w:val="00581405"/>
    <w:rsid w:val="005868DB"/>
    <w:rsid w:val="00592122"/>
    <w:rsid w:val="005B2832"/>
    <w:rsid w:val="005D3E10"/>
    <w:rsid w:val="005D622F"/>
    <w:rsid w:val="005F0EEA"/>
    <w:rsid w:val="00607829"/>
    <w:rsid w:val="0062599F"/>
    <w:rsid w:val="00632935"/>
    <w:rsid w:val="00636E8E"/>
    <w:rsid w:val="0064554E"/>
    <w:rsid w:val="006529B1"/>
    <w:rsid w:val="0065709B"/>
    <w:rsid w:val="00696E5B"/>
    <w:rsid w:val="006B175A"/>
    <w:rsid w:val="006C167D"/>
    <w:rsid w:val="006C3E1F"/>
    <w:rsid w:val="007049EE"/>
    <w:rsid w:val="007356F6"/>
    <w:rsid w:val="007D67E9"/>
    <w:rsid w:val="0080697D"/>
    <w:rsid w:val="008120BB"/>
    <w:rsid w:val="00812F6A"/>
    <w:rsid w:val="008940B5"/>
    <w:rsid w:val="008B509E"/>
    <w:rsid w:val="008C06E1"/>
    <w:rsid w:val="008D1DB8"/>
    <w:rsid w:val="008D7F5F"/>
    <w:rsid w:val="008F3C06"/>
    <w:rsid w:val="00900D0F"/>
    <w:rsid w:val="00944F67"/>
    <w:rsid w:val="009644DD"/>
    <w:rsid w:val="009A6A13"/>
    <w:rsid w:val="009D33DC"/>
    <w:rsid w:val="009D5A89"/>
    <w:rsid w:val="009D613D"/>
    <w:rsid w:val="00A14DDF"/>
    <w:rsid w:val="00A567E0"/>
    <w:rsid w:val="00A56BCB"/>
    <w:rsid w:val="00A6089F"/>
    <w:rsid w:val="00AB1C1C"/>
    <w:rsid w:val="00AB43BD"/>
    <w:rsid w:val="00AF3127"/>
    <w:rsid w:val="00B02C23"/>
    <w:rsid w:val="00B14342"/>
    <w:rsid w:val="00B5515D"/>
    <w:rsid w:val="00B621EF"/>
    <w:rsid w:val="00B64FFB"/>
    <w:rsid w:val="00B767D6"/>
    <w:rsid w:val="00BD3624"/>
    <w:rsid w:val="00BE2623"/>
    <w:rsid w:val="00BF73DF"/>
    <w:rsid w:val="00C3211E"/>
    <w:rsid w:val="00C47DA2"/>
    <w:rsid w:val="00C801E8"/>
    <w:rsid w:val="00CC372B"/>
    <w:rsid w:val="00CC4945"/>
    <w:rsid w:val="00D15737"/>
    <w:rsid w:val="00D214DC"/>
    <w:rsid w:val="00D52D8C"/>
    <w:rsid w:val="00D54212"/>
    <w:rsid w:val="00D741B1"/>
    <w:rsid w:val="00D82A10"/>
    <w:rsid w:val="00DA5BBD"/>
    <w:rsid w:val="00DB1565"/>
    <w:rsid w:val="00DB1A68"/>
    <w:rsid w:val="00E16D73"/>
    <w:rsid w:val="00E207D3"/>
    <w:rsid w:val="00E22AF6"/>
    <w:rsid w:val="00E32761"/>
    <w:rsid w:val="00E328C5"/>
    <w:rsid w:val="00E34EFD"/>
    <w:rsid w:val="00E35B4F"/>
    <w:rsid w:val="00E51FCF"/>
    <w:rsid w:val="00E968AC"/>
    <w:rsid w:val="00EC5EEA"/>
    <w:rsid w:val="00ED412B"/>
    <w:rsid w:val="00EE1B3A"/>
    <w:rsid w:val="00EE2320"/>
    <w:rsid w:val="00EE5B95"/>
    <w:rsid w:val="00EF4F91"/>
    <w:rsid w:val="00EF6676"/>
    <w:rsid w:val="00F146A1"/>
    <w:rsid w:val="00F25A0F"/>
    <w:rsid w:val="00F32834"/>
    <w:rsid w:val="00F32F87"/>
    <w:rsid w:val="00F346BD"/>
    <w:rsid w:val="00F40660"/>
    <w:rsid w:val="00F50321"/>
    <w:rsid w:val="00F91FDB"/>
    <w:rsid w:val="00FA4FD3"/>
    <w:rsid w:val="00FB0921"/>
    <w:rsid w:val="00FD4B59"/>
    <w:rsid w:val="00FE6919"/>
    <w:rsid w:val="00FF71D4"/>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CFE17"/>
  <w15:chartTrackingRefBased/>
  <w15:docId w15:val="{DECDC1F5-A291-479A-8878-16A20176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FA4FD3"/>
    <w:pPr>
      <w:spacing w:after="0" w:line="240" w:lineRule="auto"/>
    </w:pPr>
    <w:rPr>
      <w:rFonts w:ascii="Calibri" w:hAnsi="Calibri" w:cs="Times New Roman"/>
      <w:sz w:val="20"/>
      <w:szCs w:val="20"/>
      <w:lang w:eastAsia="en-GB"/>
    </w:rPr>
  </w:style>
  <w:style w:type="character" w:customStyle="1" w:styleId="CommentTextChar">
    <w:name w:val="Comment Text Char"/>
    <w:basedOn w:val="DefaultParagraphFont"/>
    <w:link w:val="CommentText"/>
    <w:uiPriority w:val="99"/>
    <w:semiHidden/>
    <w:rsid w:val="00FA4FD3"/>
    <w:rPr>
      <w:rFonts w:ascii="Calibri" w:hAnsi="Calibri" w:cs="Times New Roman"/>
      <w:sz w:val="20"/>
      <w:szCs w:val="20"/>
      <w:lang w:eastAsia="en-GB"/>
    </w:rPr>
  </w:style>
  <w:style w:type="character" w:styleId="CommentReference">
    <w:name w:val="annotation reference"/>
    <w:basedOn w:val="DefaultParagraphFont"/>
    <w:uiPriority w:val="99"/>
    <w:semiHidden/>
    <w:unhideWhenUsed/>
    <w:rsid w:val="00FA4FD3"/>
    <w:rPr>
      <w:sz w:val="16"/>
      <w:szCs w:val="16"/>
    </w:rPr>
  </w:style>
  <w:style w:type="paragraph" w:styleId="CommentSubject">
    <w:name w:val="annotation subject"/>
    <w:basedOn w:val="CommentText"/>
    <w:next w:val="CommentText"/>
    <w:link w:val="CommentSubjectChar"/>
    <w:uiPriority w:val="99"/>
    <w:semiHidden/>
    <w:unhideWhenUsed/>
    <w:rsid w:val="00944F67"/>
    <w:pPr>
      <w:spacing w:after="160"/>
    </w:pPr>
    <w:rPr>
      <w:rFonts w:ascii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44F67"/>
    <w:rPr>
      <w:rFonts w:ascii="Calibri" w:hAnsi="Calibri" w:cs="Times New Roman"/>
      <w:b/>
      <w:bCs/>
      <w:sz w:val="20"/>
      <w:szCs w:val="20"/>
      <w:lang w:eastAsia="en-GB"/>
    </w:rPr>
  </w:style>
  <w:style w:type="paragraph" w:styleId="ListParagraph">
    <w:name w:val="List Paragraph"/>
    <w:basedOn w:val="Normal"/>
    <w:uiPriority w:val="34"/>
    <w:qFormat/>
    <w:rsid w:val="00D82A10"/>
    <w:pPr>
      <w:ind w:left="720"/>
      <w:contextualSpacing/>
    </w:pPr>
  </w:style>
  <w:style w:type="paragraph" w:styleId="Revision">
    <w:name w:val="Revision"/>
    <w:hidden/>
    <w:uiPriority w:val="99"/>
    <w:semiHidden/>
    <w:rsid w:val="00F91FDB"/>
    <w:pPr>
      <w:spacing w:after="0" w:line="240" w:lineRule="auto"/>
    </w:pPr>
  </w:style>
  <w:style w:type="character" w:styleId="Hyperlink">
    <w:name w:val="Hyperlink"/>
    <w:basedOn w:val="DefaultParagraphFont"/>
    <w:uiPriority w:val="99"/>
    <w:unhideWhenUsed/>
    <w:rsid w:val="00AB1C1C"/>
    <w:rPr>
      <w:color w:val="0563C1" w:themeColor="hyperlink"/>
      <w:u w:val="single"/>
    </w:rPr>
  </w:style>
  <w:style w:type="character" w:customStyle="1" w:styleId="UnresolvedMention1">
    <w:name w:val="Unresolved Mention1"/>
    <w:basedOn w:val="DefaultParagraphFont"/>
    <w:uiPriority w:val="99"/>
    <w:semiHidden/>
    <w:unhideWhenUsed/>
    <w:rsid w:val="00AB1C1C"/>
    <w:rPr>
      <w:color w:val="605E5C"/>
      <w:shd w:val="clear" w:color="auto" w:fill="E1DFDD"/>
    </w:rPr>
  </w:style>
  <w:style w:type="character" w:styleId="FollowedHyperlink">
    <w:name w:val="FollowedHyperlink"/>
    <w:basedOn w:val="DefaultParagraphFont"/>
    <w:uiPriority w:val="99"/>
    <w:semiHidden/>
    <w:unhideWhenUsed/>
    <w:rsid w:val="00AB1C1C"/>
    <w:rPr>
      <w:color w:val="954F72" w:themeColor="followedHyperlink"/>
      <w:u w:val="single"/>
    </w:rPr>
  </w:style>
  <w:style w:type="paragraph" w:styleId="Header">
    <w:name w:val="header"/>
    <w:basedOn w:val="Normal"/>
    <w:link w:val="HeaderChar"/>
    <w:uiPriority w:val="99"/>
    <w:unhideWhenUsed/>
    <w:rsid w:val="008D7F5F"/>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8D7F5F"/>
    <w:rPr>
      <w:sz w:val="18"/>
      <w:szCs w:val="18"/>
    </w:rPr>
  </w:style>
  <w:style w:type="paragraph" w:styleId="Footer">
    <w:name w:val="footer"/>
    <w:basedOn w:val="Normal"/>
    <w:link w:val="FooterChar"/>
    <w:uiPriority w:val="99"/>
    <w:unhideWhenUsed/>
    <w:rsid w:val="008D7F5F"/>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8D7F5F"/>
    <w:rPr>
      <w:sz w:val="18"/>
      <w:szCs w:val="18"/>
    </w:rPr>
  </w:style>
  <w:style w:type="paragraph" w:styleId="BalloonText">
    <w:name w:val="Balloon Text"/>
    <w:basedOn w:val="Normal"/>
    <w:link w:val="BalloonTextChar"/>
    <w:uiPriority w:val="99"/>
    <w:semiHidden/>
    <w:unhideWhenUsed/>
    <w:rsid w:val="00141AC2"/>
    <w:pPr>
      <w:spacing w:after="0" w:line="240" w:lineRule="auto"/>
    </w:pPr>
    <w:rPr>
      <w:sz w:val="18"/>
      <w:szCs w:val="18"/>
    </w:rPr>
  </w:style>
  <w:style w:type="character" w:customStyle="1" w:styleId="BalloonTextChar">
    <w:name w:val="Balloon Text Char"/>
    <w:basedOn w:val="DefaultParagraphFont"/>
    <w:link w:val="BalloonText"/>
    <w:uiPriority w:val="99"/>
    <w:semiHidden/>
    <w:rsid w:val="00141A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b7bf1b-3aff-4271-9a73-311d63a8f15c" xsi:nil="true"/>
    <lcf76f155ced4ddcb4097134ff3c332f xmlns="b23ac6b9-7497-4e11-b7c3-f07a825ba85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E88E30D250DE4FA56B081165CF71B7" ma:contentTypeVersion="13" ma:contentTypeDescription="Create a new document." ma:contentTypeScope="" ma:versionID="216a94146a22a3813e1723c6ef2bfd33">
  <xsd:schema xmlns:xsd="http://www.w3.org/2001/XMLSchema" xmlns:xs="http://www.w3.org/2001/XMLSchema" xmlns:p="http://schemas.microsoft.com/office/2006/metadata/properties" xmlns:ns2="b23ac6b9-7497-4e11-b7c3-f07a825ba853" xmlns:ns3="c9b7bf1b-3aff-4271-9a73-311d63a8f15c" targetNamespace="http://schemas.microsoft.com/office/2006/metadata/properties" ma:root="true" ma:fieldsID="1f2f26d54fe3e0435dc61ca4ff782a86" ns2:_="" ns3:_="">
    <xsd:import namespace="b23ac6b9-7497-4e11-b7c3-f07a825ba853"/>
    <xsd:import namespace="c9b7bf1b-3aff-4271-9a73-311d63a8f1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ac6b9-7497-4e11-b7c3-f07a825ba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b7bf1b-3aff-4271-9a73-311d63a8f1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97c603f-70c6-4df0-88a1-3c6d2f81b04e}" ma:internalName="TaxCatchAll" ma:showField="CatchAllData" ma:web="c9b7bf1b-3aff-4271-9a73-311d63a8f1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648AF6-B335-4AA2-A190-CD4F281FEE3E}">
  <ds:schemaRefs>
    <ds:schemaRef ds:uri="http://schemas.microsoft.com/office/2006/metadata/properties"/>
    <ds:schemaRef ds:uri="http://schemas.microsoft.com/office/infopath/2007/PartnerControls"/>
    <ds:schemaRef ds:uri="c9b7bf1b-3aff-4271-9a73-311d63a8f15c"/>
    <ds:schemaRef ds:uri="b23ac6b9-7497-4e11-b7c3-f07a825ba853"/>
  </ds:schemaRefs>
</ds:datastoreItem>
</file>

<file path=customXml/itemProps2.xml><?xml version="1.0" encoding="utf-8"?>
<ds:datastoreItem xmlns:ds="http://schemas.openxmlformats.org/officeDocument/2006/customXml" ds:itemID="{77E3D391-E35F-4EBB-81DB-62CCCD9B41EF}">
  <ds:schemaRefs>
    <ds:schemaRef ds:uri="http://schemas.openxmlformats.org/officeDocument/2006/bibliography"/>
  </ds:schemaRefs>
</ds:datastoreItem>
</file>

<file path=customXml/itemProps3.xml><?xml version="1.0" encoding="utf-8"?>
<ds:datastoreItem xmlns:ds="http://schemas.openxmlformats.org/officeDocument/2006/customXml" ds:itemID="{A653A706-CE73-4DFE-8CC6-B09A89521AA8}">
  <ds:schemaRefs>
    <ds:schemaRef ds:uri="http://schemas.microsoft.com/sharepoint/v3/contenttype/forms"/>
  </ds:schemaRefs>
</ds:datastoreItem>
</file>

<file path=customXml/itemProps4.xml><?xml version="1.0" encoding="utf-8"?>
<ds:datastoreItem xmlns:ds="http://schemas.openxmlformats.org/officeDocument/2006/customXml" ds:itemID="{9C8872CC-9AF2-4400-8548-6260FE668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ac6b9-7497-4e11-b7c3-f07a825ba853"/>
    <ds:schemaRef ds:uri="c9b7bf1b-3aff-4271-9a73-311d63a8f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Elvin, Thea (ELS-LOW)</dc:creator>
  <cp:keywords/>
  <dc:description/>
  <cp:lastModifiedBy>arantxa@gahp.net</cp:lastModifiedBy>
  <cp:revision>5</cp:revision>
  <cp:lastPrinted>2022-04-29T19:48:00Z</cp:lastPrinted>
  <dcterms:created xsi:type="dcterms:W3CDTF">2022-05-17T03:13:00Z</dcterms:created>
  <dcterms:modified xsi:type="dcterms:W3CDTF">2022-10-24T13:23:00Z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2022-04-29T08:27:24Z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3bdff018-0944-4506-b1d7-f1758d301c5e</vt:lpwstr>
  </property>
  <property fmtid="{D5CDD505-2E9C-101B-9397-08002B2CF9AE}" pid="8" name="MSIP_Label_549ac42a-3eb4-4074-b885-aea26bd6241e_ContentBits">
    <vt:lpwstr>0</vt:lpwstr>
  </property>
  <property fmtid="{D5CDD505-2E9C-101B-9397-08002B2CF9AE}" pid="9" name="ContentTypeId">
    <vt:lpwstr>0x010100BCE88E30D250DE4FA56B081165CF71B7</vt:lpwstr>
  </property>
  <property fmtid="{D5CDD505-2E9C-101B-9397-08002B2CF9AE}" pid="10" name="MSIP_Label_8bb759f6-5337-4dc5-b19b-e74b6da11f8f_Enabled">
    <vt:lpwstr>true</vt:lpwstr>
  </property>
  <property fmtid="{D5CDD505-2E9C-101B-9397-08002B2CF9AE}" pid="11" name="MSIP_Label_8bb759f6-5337-4dc5-b19b-e74b6da11f8f_SetDate">
    <vt:lpwstr>2022-05-07T02:42:26Z</vt:lpwstr>
  </property>
  <property fmtid="{D5CDD505-2E9C-101B-9397-08002B2CF9AE}" pid="12" name="MSIP_Label_8bb759f6-5337-4dc5-b19b-e74b6da11f8f_Method">
    <vt:lpwstr>Standard</vt:lpwstr>
  </property>
  <property fmtid="{D5CDD505-2E9C-101B-9397-08002B2CF9AE}" pid="13" name="MSIP_Label_8bb759f6-5337-4dc5-b19b-e74b6da11f8f_Name">
    <vt:lpwstr>8bb759f6-5337-4dc5-b19b-e74b6da11f8f</vt:lpwstr>
  </property>
  <property fmtid="{D5CDD505-2E9C-101B-9397-08002B2CF9AE}" pid="14" name="MSIP_Label_8bb759f6-5337-4dc5-b19b-e74b6da11f8f_SiteId">
    <vt:lpwstr>41ff26dc-250f-4b13-8981-739be8610c21</vt:lpwstr>
  </property>
  <property fmtid="{D5CDD505-2E9C-101B-9397-08002B2CF9AE}" pid="15" name="MSIP_Label_8bb759f6-5337-4dc5-b19b-e74b6da11f8f_ActionId">
    <vt:lpwstr>ccc06d66-9d24-42f9-a522-1b06814ec92c</vt:lpwstr>
  </property>
  <property fmtid="{D5CDD505-2E9C-101B-9397-08002B2CF9AE}" pid="16" name="MSIP_Label_8bb759f6-5337-4dc5-b19b-e74b6da11f8f_ContentBits">
    <vt:lpwstr>2</vt:lpwstr>
  </property>
</Properties>
</file>